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0A5EE">
      <w:pPr>
        <w:keepNext w:val="0"/>
        <w:keepLines w:val="0"/>
        <w:pageBreakBefore w:val="0"/>
        <w:widowControl w:val="0"/>
        <w:kinsoku/>
        <w:wordWrap/>
        <w:overflowPunct/>
        <w:topLinePunct w:val="0"/>
        <w:autoSpaceDE/>
        <w:autoSpaceDN/>
        <w:bidi w:val="0"/>
        <w:spacing w:line="578" w:lineRule="exact"/>
        <w:ind w:left="0" w:leftChars="0"/>
        <w:textAlignment w:val="auto"/>
        <w:rPr>
          <w:rFonts w:hint="default" w:ascii="Times New Roman" w:hAnsi="Times New Roman" w:eastAsia="黑体" w:cs="Times New Roman"/>
          <w:highlight w:val="none"/>
          <w:lang w:val="en-US" w:eastAsia="zh-CN"/>
        </w:rPr>
      </w:pPr>
      <w:r>
        <w:rPr>
          <w:rFonts w:hint="default" w:ascii="Times New Roman" w:hAnsi="Times New Roman" w:eastAsia="黑体" w:cs="Times New Roman"/>
          <w:highlight w:val="none"/>
        </w:rPr>
        <w:t>附件</w:t>
      </w:r>
      <w:r>
        <w:rPr>
          <w:rFonts w:hint="eastAsia" w:eastAsia="黑体" w:cs="Times New Roman"/>
          <w:highlight w:val="none"/>
          <w:lang w:val="en-US" w:eastAsia="zh-CN"/>
        </w:rPr>
        <w:t>5</w:t>
      </w:r>
    </w:p>
    <w:p w14:paraId="19E0C6E7">
      <w:pPr>
        <w:pStyle w:val="13"/>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default" w:ascii="Times New Roman" w:hAnsi="Times New Roman" w:eastAsia="方正小标宋简体" w:cs="Times New Roman"/>
          <w:color w:val="auto"/>
          <w:kern w:val="2"/>
          <w:sz w:val="44"/>
          <w:szCs w:val="44"/>
          <w:highlight w:val="none"/>
          <w:lang w:val="en-US" w:eastAsia="zh-CN"/>
        </w:rPr>
      </w:pPr>
    </w:p>
    <w:p w14:paraId="0F9BA06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eastAsia="方正小标宋简体"/>
          <w:color w:val="auto"/>
          <w:sz w:val="44"/>
          <w:szCs w:val="44"/>
        </w:rPr>
      </w:pPr>
      <w:r>
        <w:rPr>
          <w:rFonts w:eastAsia="方正小标宋简体"/>
          <w:color w:val="auto"/>
          <w:sz w:val="44"/>
          <w:szCs w:val="44"/>
        </w:rPr>
        <w:t>202</w:t>
      </w:r>
      <w:r>
        <w:rPr>
          <w:rFonts w:hint="eastAsia" w:eastAsia="方正小标宋简体"/>
          <w:color w:val="auto"/>
          <w:sz w:val="44"/>
          <w:szCs w:val="44"/>
        </w:rPr>
        <w:t>3</w:t>
      </w:r>
      <w:r>
        <w:rPr>
          <w:rFonts w:eastAsia="方正小标宋简体"/>
          <w:color w:val="auto"/>
          <w:sz w:val="44"/>
          <w:szCs w:val="44"/>
        </w:rPr>
        <w:t>年中央财政林草科技推广示范项目</w:t>
      </w:r>
    </w:p>
    <w:p w14:paraId="63A78154">
      <w:pPr>
        <w:pStyle w:val="1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eastAsia="方正小标宋简体"/>
          <w:color w:val="auto"/>
          <w:sz w:val="44"/>
          <w:szCs w:val="44"/>
        </w:rPr>
      </w:pPr>
      <w:r>
        <w:rPr>
          <w:rFonts w:eastAsia="方正小标宋简体"/>
          <w:color w:val="auto"/>
          <w:sz w:val="44"/>
          <w:szCs w:val="44"/>
        </w:rPr>
        <w:t>岷江上游干旱河谷区造林质量提升关键技术推广与示范</w:t>
      </w:r>
      <w:bookmarkStart w:id="9" w:name="_GoBack"/>
      <w:bookmarkEnd w:id="9"/>
    </w:p>
    <w:p w14:paraId="041C5EAF">
      <w:pPr>
        <w:pStyle w:val="1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default" w:ascii="Times New Roman" w:hAnsi="Times New Roman" w:eastAsia="方正小标宋简体" w:cs="Times New Roman"/>
          <w:color w:val="auto"/>
          <w:kern w:val="2"/>
          <w:sz w:val="44"/>
          <w:szCs w:val="44"/>
          <w:highlight w:val="none"/>
          <w:lang w:val="en-US" w:eastAsia="zh-CN"/>
        </w:rPr>
        <w:t>专项预算绩效自评报告</w:t>
      </w:r>
    </w:p>
    <w:p w14:paraId="25F4507C">
      <w:pPr>
        <w:pStyle w:val="13"/>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hint="default" w:ascii="Times New Roman" w:hAnsi="Times New Roman" w:cs="Times New Roman"/>
          <w:color w:val="auto"/>
          <w:kern w:val="2"/>
          <w:sz w:val="32"/>
          <w:szCs w:val="32"/>
          <w:highlight w:val="none"/>
        </w:rPr>
      </w:pPr>
    </w:p>
    <w:p w14:paraId="11B412D6">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eastAsia="黑体" w:cs="Times New Roman"/>
          <w:highlight w:val="none"/>
          <w:lang w:val="zh-CN"/>
        </w:rPr>
      </w:pPr>
      <w:r>
        <w:rPr>
          <w:rFonts w:hint="default" w:ascii="Times New Roman" w:hAnsi="Times New Roman" w:eastAsia="黑体" w:cs="Times New Roman"/>
          <w:highlight w:val="none"/>
        </w:rPr>
        <w:t>一、</w:t>
      </w:r>
      <w:r>
        <w:rPr>
          <w:rFonts w:hint="default" w:ascii="Times New Roman" w:hAnsi="Times New Roman" w:eastAsia="黑体" w:cs="Times New Roman"/>
          <w:highlight w:val="none"/>
          <w:lang w:val="zh-CN"/>
        </w:rPr>
        <w:t>项目概况</w:t>
      </w:r>
    </w:p>
    <w:p w14:paraId="44A12560">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default" w:ascii="Times New Roman" w:hAnsi="Times New Roman" w:eastAsia="楷体_GB2312" w:cs="Times New Roman"/>
          <w:b/>
          <w:color w:val="auto"/>
          <w:sz w:val="32"/>
          <w:szCs w:val="32"/>
          <w:highlight w:val="none"/>
          <w:u w:val="none"/>
          <w:lang w:val="zh-CN"/>
        </w:rPr>
      </w:pPr>
      <w:r>
        <w:rPr>
          <w:rFonts w:hint="default" w:ascii="Times New Roman" w:hAnsi="Times New Roman" w:eastAsia="楷体_GB2312" w:cs="Times New Roman"/>
          <w:b/>
          <w:color w:val="auto"/>
          <w:sz w:val="32"/>
          <w:szCs w:val="32"/>
          <w:highlight w:val="none"/>
          <w:u w:val="none"/>
          <w:lang w:val="zh-CN"/>
        </w:rPr>
        <w:t>（一）设立背景及基本情况。</w:t>
      </w:r>
    </w:p>
    <w:p w14:paraId="66CE160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 w:hAnsi="仿宋" w:eastAsia="仿宋" w:cs="仿宋"/>
          <w:color w:val="auto"/>
          <w:sz w:val="32"/>
          <w:szCs w:val="32"/>
          <w:lang w:val="en-US" w:eastAsia="zh-CN"/>
        </w:rPr>
      </w:pPr>
      <w:r>
        <w:rPr>
          <w:rFonts w:hint="default" w:ascii="Times New Roman" w:hAnsi="Times New Roman" w:cs="Times New Roman"/>
          <w:b/>
          <w:bCs/>
          <w:color w:val="auto"/>
          <w:kern w:val="0"/>
          <w:sz w:val="32"/>
          <w:szCs w:val="32"/>
          <w:highlight w:val="none"/>
          <w:u w:val="none"/>
          <w:shd w:val="clear" w:color="auto" w:fill="FFFFFF"/>
          <w:lang w:val="en-US" w:eastAsia="zh-CN"/>
        </w:rPr>
        <w:t>项目设立原因及背景</w:t>
      </w:r>
      <w:r>
        <w:rPr>
          <w:rFonts w:hint="default" w:ascii="Times New Roman" w:hAnsi="Times New Roman" w:cs="Times New Roman"/>
          <w:color w:val="auto"/>
          <w:kern w:val="0"/>
          <w:sz w:val="32"/>
          <w:szCs w:val="32"/>
          <w:highlight w:val="none"/>
          <w:u w:val="none"/>
          <w:shd w:val="clear" w:color="auto" w:fill="FFFFFF"/>
          <w:lang w:val="en-US" w:eastAsia="zh-CN"/>
        </w:rPr>
        <w:t>，</w:t>
      </w:r>
      <w:r>
        <w:rPr>
          <w:rFonts w:hint="eastAsia" w:ascii="仿宋" w:hAnsi="仿宋" w:eastAsia="仿宋" w:cs="仿宋"/>
          <w:color w:val="auto"/>
          <w:sz w:val="32"/>
          <w:szCs w:val="32"/>
        </w:rPr>
        <w:t>岷江上游干旱河谷地区的植被恢复、生态治理成为当前国际和国内林业界普遍关注的热点之一，该区也成为全球生态治理的重点和难点。</w:t>
      </w:r>
      <w:r>
        <w:rPr>
          <w:rFonts w:hint="eastAsia" w:ascii="仿宋" w:hAnsi="仿宋" w:eastAsia="仿宋" w:cs="仿宋"/>
          <w:color w:val="auto"/>
          <w:sz w:val="32"/>
          <w:szCs w:val="32"/>
          <w:lang w:val="en-US" w:eastAsia="zh-CN"/>
        </w:rPr>
        <w:t>造林质量提升项目的必要性</w:t>
      </w:r>
      <w:bookmarkStart w:id="0" w:name="_Toc109647573"/>
      <w:bookmarkStart w:id="1" w:name="_Toc15143"/>
      <w:r>
        <w:rPr>
          <w:rFonts w:hint="eastAsia" w:ascii="仿宋" w:hAnsi="仿宋" w:eastAsia="仿宋" w:cs="仿宋"/>
          <w:color w:val="auto"/>
          <w:sz w:val="32"/>
          <w:szCs w:val="32"/>
          <w:lang w:val="en-US" w:eastAsia="zh-CN"/>
        </w:rPr>
        <w:t>1、岷江上游森林具有重要水源涵养功能</w:t>
      </w:r>
      <w:bookmarkEnd w:id="0"/>
      <w:bookmarkEnd w:id="1"/>
      <w:bookmarkStart w:id="2" w:name="_Toc13751"/>
      <w:bookmarkStart w:id="3" w:name="_Toc109647574"/>
      <w:r>
        <w:rPr>
          <w:rFonts w:hint="eastAsia" w:ascii="仿宋" w:hAnsi="仿宋" w:eastAsia="仿宋" w:cs="仿宋"/>
          <w:color w:val="auto"/>
          <w:sz w:val="32"/>
          <w:szCs w:val="32"/>
          <w:lang w:val="en-US" w:eastAsia="zh-CN"/>
        </w:rPr>
        <w:t>，2、岷江流域是重要生物资源库和基因资源库</w:t>
      </w:r>
      <w:bookmarkEnd w:id="2"/>
      <w:bookmarkEnd w:id="3"/>
      <w:r>
        <w:rPr>
          <w:rFonts w:hint="eastAsia" w:ascii="仿宋" w:hAnsi="仿宋" w:eastAsia="仿宋" w:cs="仿宋"/>
          <w:color w:val="auto"/>
          <w:sz w:val="32"/>
          <w:szCs w:val="32"/>
          <w:lang w:val="en-US" w:eastAsia="zh-CN"/>
        </w:rPr>
        <w:t>，</w:t>
      </w:r>
      <w:bookmarkStart w:id="4" w:name="_Toc22042"/>
      <w:bookmarkStart w:id="5" w:name="_Toc109647575"/>
      <w:r>
        <w:rPr>
          <w:rFonts w:hint="eastAsia" w:ascii="仿宋" w:hAnsi="仿宋" w:eastAsia="仿宋" w:cs="仿宋"/>
          <w:color w:val="auto"/>
          <w:sz w:val="32"/>
          <w:szCs w:val="32"/>
          <w:lang w:val="en-US" w:eastAsia="zh-CN"/>
        </w:rPr>
        <w:t>3、岷江流域是长江上游重要生态屏障</w:t>
      </w:r>
      <w:bookmarkEnd w:id="4"/>
      <w:bookmarkEnd w:id="5"/>
      <w:r>
        <w:rPr>
          <w:rFonts w:hint="eastAsia" w:ascii="仿宋" w:hAnsi="仿宋" w:eastAsia="仿宋" w:cs="仿宋"/>
          <w:color w:val="auto"/>
          <w:sz w:val="32"/>
          <w:szCs w:val="32"/>
          <w:lang w:val="en-US" w:eastAsia="zh-CN"/>
        </w:rPr>
        <w:t>。</w:t>
      </w:r>
    </w:p>
    <w:p w14:paraId="0B445A9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color w:val="auto"/>
          <w:sz w:val="32"/>
          <w:szCs w:val="32"/>
          <w:lang w:val="zh-CN" w:eastAsia="zh-CN"/>
        </w:rPr>
      </w:pPr>
      <w:r>
        <w:rPr>
          <w:rFonts w:hint="default" w:ascii="仿宋" w:hAnsi="仿宋" w:eastAsia="仿宋" w:cs="仿宋"/>
          <w:color w:val="auto"/>
          <w:sz w:val="32"/>
          <w:szCs w:val="32"/>
          <w:lang w:val="zh-CN" w:eastAsia="zh-CN"/>
        </w:rPr>
        <w:t>项目立项、资金申报的依据，</w:t>
      </w:r>
      <w:r>
        <w:rPr>
          <w:rFonts w:hint="eastAsia" w:ascii="仿宋" w:hAnsi="仿宋" w:eastAsia="仿宋" w:cs="仿宋"/>
          <w:color w:val="auto"/>
          <w:sz w:val="32"/>
          <w:szCs w:val="32"/>
          <w:lang w:val="zh-CN" w:eastAsia="zh-CN"/>
        </w:rPr>
        <w:t>项目根据我所取得的</w:t>
      </w:r>
      <w:r>
        <w:rPr>
          <w:rFonts w:hint="eastAsia" w:ascii="仿宋" w:hAnsi="仿宋" w:eastAsia="仿宋" w:cs="仿宋"/>
          <w:color w:val="auto"/>
          <w:sz w:val="32"/>
          <w:szCs w:val="32"/>
          <w:lang w:val="en-US" w:eastAsia="zh-CN"/>
        </w:rPr>
        <w:t>《岷江上游干旱河谷区多用途树种选育与造林质量关键技术研究及应用》成果进行推广，资金来源于中央财政林草科技推广示范专项资金。</w:t>
      </w:r>
    </w:p>
    <w:p w14:paraId="57006583">
      <w:pPr>
        <w:widowControl/>
        <w:numPr>
          <w:ilvl w:val="0"/>
          <w:numId w:val="0"/>
        </w:numPr>
        <w:spacing w:line="360" w:lineRule="auto"/>
        <w:ind w:firstLine="643" w:firstLineChars="200"/>
        <w:rPr>
          <w:rFonts w:hint="default" w:ascii="仿宋" w:hAnsi="仿宋" w:eastAsia="仿宋" w:cs="仿宋"/>
          <w:b w:val="0"/>
          <w:bCs w:val="0"/>
          <w:smallCaps/>
          <w:color w:val="000000"/>
          <w:kern w:val="0"/>
          <w:sz w:val="32"/>
          <w:szCs w:val="32"/>
          <w:lang w:val="en-US" w:eastAsia="zh-CN"/>
        </w:rPr>
      </w:pPr>
      <w:r>
        <w:rPr>
          <w:rFonts w:hint="default" w:ascii="Times New Roman" w:hAnsi="Times New Roman" w:cs="Times New Roman"/>
          <w:b/>
          <w:bCs/>
          <w:color w:val="auto"/>
          <w:kern w:val="0"/>
          <w:sz w:val="32"/>
          <w:szCs w:val="32"/>
          <w:highlight w:val="none"/>
          <w:u w:val="none"/>
          <w:shd w:val="clear" w:color="auto" w:fill="FFFFFF"/>
          <w:lang w:val="zh-CN"/>
        </w:rPr>
        <w:t>项目主要内容</w:t>
      </w:r>
      <w:r>
        <w:rPr>
          <w:rFonts w:hint="eastAsia" w:cs="Times New Roman"/>
          <w:b/>
          <w:bCs/>
          <w:color w:val="auto"/>
          <w:kern w:val="0"/>
          <w:sz w:val="32"/>
          <w:szCs w:val="32"/>
          <w:highlight w:val="none"/>
          <w:u w:val="none"/>
          <w:shd w:val="clear" w:color="auto" w:fill="FFFFFF"/>
          <w:lang w:val="zh-CN"/>
        </w:rPr>
        <w:t>，</w:t>
      </w:r>
      <w:r>
        <w:rPr>
          <w:rFonts w:hint="eastAsia" w:ascii="仿宋" w:hAnsi="仿宋" w:eastAsia="仿宋" w:cs="仿宋"/>
          <w:smallCaps/>
          <w:color w:val="000000"/>
          <w:kern w:val="0"/>
          <w:sz w:val="32"/>
          <w:szCs w:val="32"/>
          <w:lang w:val="en-US" w:eastAsia="zh-CN"/>
        </w:rPr>
        <w:t>1项目在茂县沙坝镇白布村建设岷江上游干旱河谷造林质量提升关键技术推广与示范基地</w:t>
      </w:r>
      <w:r>
        <w:rPr>
          <w:rFonts w:hint="default" w:ascii="仿宋" w:hAnsi="仿宋" w:eastAsia="仿宋" w:cs="仿宋"/>
          <w:smallCaps/>
          <w:color w:val="000000"/>
          <w:kern w:val="0"/>
          <w:sz w:val="32"/>
          <w:szCs w:val="32"/>
          <w:lang w:val="en" w:eastAsia="zh-CN"/>
        </w:rPr>
        <w:t>200</w:t>
      </w:r>
      <w:r>
        <w:rPr>
          <w:rFonts w:hint="eastAsia" w:ascii="仿宋" w:hAnsi="仿宋" w:eastAsia="仿宋" w:cs="仿宋"/>
          <w:smallCaps/>
          <w:color w:val="000000"/>
          <w:kern w:val="0"/>
          <w:sz w:val="32"/>
          <w:szCs w:val="32"/>
          <w:lang w:val="en-US" w:eastAsia="zh-CN"/>
        </w:rPr>
        <w:t>亩。新建示范基地灌溉设施1套。2简易基础设施，新建宣传标牌1座。3</w:t>
      </w:r>
      <w:r>
        <w:rPr>
          <w:rFonts w:hint="eastAsia" w:eastAsia="仿宋" w:cs="Times New Roman"/>
          <w:smallCaps/>
          <w:color w:val="000000"/>
          <w:kern w:val="0"/>
          <w:sz w:val="32"/>
          <w:szCs w:val="32"/>
          <w:lang w:val="en-US" w:eastAsia="zh-CN"/>
        </w:rPr>
        <w:t>技术培训，</w:t>
      </w:r>
      <w:r>
        <w:rPr>
          <w:rFonts w:hint="eastAsia" w:ascii="Times New Roman" w:hAnsi="Times New Roman" w:eastAsia="仿宋" w:cs="Times New Roman"/>
          <w:smallCaps/>
          <w:color w:val="000000"/>
          <w:kern w:val="0"/>
          <w:sz w:val="32"/>
          <w:szCs w:val="32"/>
          <w:lang w:val="en-US" w:eastAsia="zh-CN"/>
        </w:rPr>
        <w:t>开展技术培训2期，累计培训专业技术人员、专业合作社</w:t>
      </w:r>
      <w:r>
        <w:rPr>
          <w:rFonts w:hint="eastAsia" w:eastAsia="仿宋" w:cs="Times New Roman"/>
          <w:smallCaps/>
          <w:color w:val="000000"/>
          <w:kern w:val="0"/>
          <w:sz w:val="32"/>
          <w:szCs w:val="32"/>
          <w:lang w:val="en-US" w:eastAsia="zh-CN"/>
        </w:rPr>
        <w:t>、农户等</w:t>
      </w:r>
      <w:r>
        <w:rPr>
          <w:rFonts w:hint="eastAsia" w:ascii="Times New Roman" w:hAnsi="Times New Roman" w:eastAsia="仿宋" w:cs="Times New Roman"/>
          <w:smallCaps/>
          <w:color w:val="000000"/>
          <w:kern w:val="0"/>
          <w:sz w:val="32"/>
          <w:szCs w:val="32"/>
          <w:lang w:val="en-US" w:eastAsia="zh-CN"/>
        </w:rPr>
        <w:t>100人次；编印岷江上游干旱河谷造林质量提升关键技术手册1套</w:t>
      </w:r>
      <w:r>
        <w:rPr>
          <w:rFonts w:hint="eastAsia" w:eastAsia="仿宋" w:cs="Times New Roman"/>
          <w:smallCaps/>
          <w:color w:val="000000"/>
          <w:kern w:val="0"/>
          <w:sz w:val="32"/>
          <w:szCs w:val="32"/>
          <w:lang w:val="en-US" w:eastAsia="zh-CN"/>
        </w:rPr>
        <w:t>，发放100册。4技术咨询，通过电话咨询和现场咨询结合，咨询国内行业专家，解决项目实施过程中遇到的问题。预计咨询10人次。</w:t>
      </w:r>
    </w:p>
    <w:p w14:paraId="44DE1BD2">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default" w:ascii="Times New Roman" w:hAnsi="Times New Roman" w:eastAsia="仿宋_GB2312" w:cs="Times New Roman"/>
          <w:color w:val="auto"/>
          <w:kern w:val="0"/>
          <w:sz w:val="32"/>
          <w:szCs w:val="32"/>
          <w:highlight w:val="none"/>
          <w:u w:val="none"/>
          <w:shd w:val="clear" w:color="auto" w:fill="FFFFFF"/>
          <w:lang w:val="zh-CN"/>
        </w:rPr>
      </w:pPr>
      <w:r>
        <w:rPr>
          <w:rFonts w:hint="default" w:ascii="Times New Roman" w:hAnsi="Times New Roman" w:eastAsia="仿宋_GB2312" w:cs="Times New Roman"/>
          <w:color w:val="auto"/>
          <w:kern w:val="0"/>
          <w:sz w:val="32"/>
          <w:szCs w:val="32"/>
          <w:highlight w:val="none"/>
          <w:u w:val="none"/>
          <w:shd w:val="clear" w:color="auto" w:fill="FFFFFF"/>
          <w:lang w:val="zh-CN"/>
        </w:rPr>
        <w:t>主管部门职能</w:t>
      </w:r>
      <w:r>
        <w:rPr>
          <w:rFonts w:hint="eastAsia" w:cs="Times New Roman"/>
          <w:color w:val="auto"/>
          <w:kern w:val="0"/>
          <w:sz w:val="32"/>
          <w:szCs w:val="32"/>
          <w:highlight w:val="none"/>
          <w:u w:val="none"/>
          <w:shd w:val="clear" w:color="auto" w:fill="FFFFFF"/>
          <w:lang w:val="zh-CN"/>
        </w:rPr>
        <w:t>，负责业务技术指导。</w:t>
      </w:r>
    </w:p>
    <w:p w14:paraId="192CE065">
      <w:pPr>
        <w:widowControl/>
        <w:spacing w:line="360" w:lineRule="auto"/>
        <w:ind w:firstLine="643" w:firstLineChars="200"/>
        <w:rPr>
          <w:rFonts w:hint="eastAsia" w:eastAsia="仿宋" w:cs="Times New Roman"/>
          <w:smallCaps/>
          <w:color w:val="auto"/>
          <w:kern w:val="0"/>
          <w:sz w:val="32"/>
          <w:szCs w:val="32"/>
          <w:lang w:val="en-US" w:eastAsia="zh-CN"/>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实施目的及支持方向。</w:t>
      </w:r>
      <w:bookmarkStart w:id="6" w:name="_Toc12652"/>
      <w:bookmarkStart w:id="7" w:name="_Toc109647568"/>
      <w:r>
        <w:rPr>
          <w:rFonts w:hint="eastAsia" w:eastAsia="仿宋" w:cs="Times New Roman"/>
          <w:smallCaps/>
          <w:color w:val="auto"/>
          <w:kern w:val="0"/>
          <w:sz w:val="32"/>
          <w:szCs w:val="32"/>
          <w:lang w:val="en-US" w:eastAsia="zh-CN"/>
        </w:rPr>
        <w:t>资金来源</w:t>
      </w:r>
      <w:bookmarkEnd w:id="6"/>
      <w:bookmarkEnd w:id="7"/>
      <w:r>
        <w:rPr>
          <w:rFonts w:hint="eastAsia" w:eastAsia="仿宋" w:cs="Times New Roman"/>
          <w:smallCaps/>
          <w:color w:val="auto"/>
          <w:kern w:val="0"/>
          <w:sz w:val="32"/>
          <w:szCs w:val="32"/>
          <w:lang w:val="en-US" w:eastAsia="zh-CN"/>
        </w:rPr>
        <w:t>于2023年中央财政林草科技推广示范补贴资金，项目</w:t>
      </w:r>
      <w:r>
        <w:rPr>
          <w:rFonts w:hint="eastAsia" w:eastAsia="仿宋_GB2312" w:cs="Times New Roman"/>
          <w:smallCaps w:val="0"/>
          <w:color w:val="auto"/>
          <w:spacing w:val="-2"/>
          <w:kern w:val="2"/>
          <w:sz w:val="32"/>
          <w:szCs w:val="32"/>
          <w:lang w:val="en-US" w:eastAsia="zh-CN"/>
        </w:rPr>
        <w:t>投资规模：</w:t>
      </w:r>
      <w:r>
        <w:rPr>
          <w:rFonts w:hint="eastAsia" w:eastAsia="仿宋" w:cs="Times New Roman"/>
          <w:smallCaps/>
          <w:color w:val="auto"/>
          <w:kern w:val="0"/>
          <w:sz w:val="32"/>
          <w:szCs w:val="32"/>
          <w:lang w:val="en-US" w:eastAsia="zh-CN"/>
        </w:rPr>
        <w:t>56.64万元。</w:t>
      </w:r>
    </w:p>
    <w:p w14:paraId="0D9BCE43">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Times New Roman" w:hAnsi="Times New Roman" w:eastAsia="楷体_GB2312" w:cs="Times New Roman"/>
          <w:b/>
          <w:color w:val="auto"/>
          <w:sz w:val="32"/>
          <w:szCs w:val="32"/>
          <w:highlight w:val="none"/>
          <w:u w:val="none"/>
          <w:lang w:val="zh-CN"/>
        </w:rPr>
      </w:pPr>
      <w:r>
        <w:rPr>
          <w:rFonts w:hint="eastAsia" w:ascii="仿宋_GB2312" w:hAnsi="黑体" w:eastAsia="仿宋_GB2312"/>
          <w:color w:val="auto"/>
          <w:sz w:val="32"/>
          <w:szCs w:val="32"/>
        </w:rPr>
        <w:t>202</w:t>
      </w:r>
      <w:r>
        <w:rPr>
          <w:rFonts w:hint="eastAsia" w:ascii="仿宋_GB2312" w:hAnsi="黑体" w:eastAsia="仿宋_GB2312"/>
          <w:color w:val="auto"/>
          <w:sz w:val="32"/>
          <w:szCs w:val="32"/>
          <w:lang w:val="en-US" w:eastAsia="zh-CN"/>
        </w:rPr>
        <w:t>3</w:t>
      </w:r>
      <w:r>
        <w:rPr>
          <w:rFonts w:hint="eastAsia" w:eastAsia="仿宋_GB2312"/>
          <w:color w:val="auto"/>
          <w:spacing w:val="-2"/>
          <w:sz w:val="32"/>
          <w:szCs w:val="32"/>
        </w:rPr>
        <w:t>年</w:t>
      </w:r>
      <w:r>
        <w:rPr>
          <w:rFonts w:hint="eastAsia" w:eastAsia="仿宋_GB2312"/>
          <w:color w:val="auto"/>
          <w:spacing w:val="-2"/>
          <w:sz w:val="32"/>
          <w:szCs w:val="32"/>
          <w:lang w:val="en-US" w:eastAsia="zh-CN"/>
        </w:rPr>
        <w:t>7</w:t>
      </w:r>
      <w:r>
        <w:rPr>
          <w:rFonts w:hint="eastAsia" w:eastAsia="仿宋_GB2312"/>
          <w:color w:val="auto"/>
          <w:spacing w:val="-2"/>
          <w:sz w:val="32"/>
          <w:szCs w:val="32"/>
        </w:rPr>
        <w:t>月底项目资金下达后，项目承担单位组织专业技术人员开展了实地调查，在整理分析外业资料的基础上，202</w:t>
      </w:r>
      <w:r>
        <w:rPr>
          <w:rFonts w:hint="eastAsia" w:eastAsia="仿宋_GB2312"/>
          <w:color w:val="auto"/>
          <w:spacing w:val="-2"/>
          <w:sz w:val="32"/>
          <w:szCs w:val="32"/>
          <w:lang w:val="en-US" w:eastAsia="zh-CN"/>
        </w:rPr>
        <w:t>3</w:t>
      </w:r>
      <w:r>
        <w:rPr>
          <w:rFonts w:hint="eastAsia" w:eastAsia="仿宋_GB2312"/>
          <w:color w:val="auto"/>
          <w:spacing w:val="-2"/>
          <w:sz w:val="32"/>
          <w:szCs w:val="32"/>
        </w:rPr>
        <w:t>年</w:t>
      </w:r>
      <w:r>
        <w:rPr>
          <w:rFonts w:hint="eastAsia" w:eastAsia="仿宋_GB2312"/>
          <w:color w:val="auto"/>
          <w:spacing w:val="-2"/>
          <w:sz w:val="32"/>
          <w:szCs w:val="32"/>
          <w:lang w:val="en-US" w:eastAsia="zh-CN"/>
        </w:rPr>
        <w:t>11</w:t>
      </w:r>
      <w:r>
        <w:rPr>
          <w:rFonts w:hint="eastAsia" w:eastAsia="仿宋_GB2312"/>
          <w:color w:val="auto"/>
          <w:spacing w:val="-2"/>
          <w:sz w:val="32"/>
          <w:szCs w:val="32"/>
        </w:rPr>
        <w:t>月编制完成了项目实施方案，对建设任务量、进度安排、技术标准、质量要求、资金使用、组织管理方式等作出具体计划、措施及需要达到的建设成效，</w:t>
      </w:r>
      <w:r>
        <w:rPr>
          <w:rFonts w:hint="eastAsia" w:eastAsia="仿宋_GB2312"/>
          <w:color w:val="auto"/>
          <w:spacing w:val="-2"/>
          <w:sz w:val="32"/>
          <w:szCs w:val="32"/>
          <w:lang w:eastAsia="zh-CN"/>
        </w:rPr>
        <w:t>并于</w:t>
      </w:r>
      <w:r>
        <w:rPr>
          <w:rFonts w:hint="eastAsia" w:eastAsia="仿宋_GB2312"/>
          <w:color w:val="auto"/>
          <w:spacing w:val="-2"/>
          <w:sz w:val="32"/>
          <w:szCs w:val="32"/>
          <w:lang w:val="en-US" w:eastAsia="zh-CN"/>
        </w:rPr>
        <w:t>2023年11月</w:t>
      </w:r>
      <w:r>
        <w:rPr>
          <w:rFonts w:hint="eastAsia" w:eastAsia="仿宋_GB2312"/>
          <w:color w:val="auto"/>
          <w:spacing w:val="-2"/>
          <w:sz w:val="32"/>
          <w:szCs w:val="32"/>
          <w:lang w:eastAsia="zh-CN"/>
        </w:rPr>
        <w:t>组织专家对方案进行了评审，</w:t>
      </w:r>
      <w:r>
        <w:rPr>
          <w:rFonts w:hint="eastAsia" w:eastAsia="仿宋_GB2312"/>
          <w:color w:val="auto"/>
          <w:spacing w:val="-2"/>
          <w:sz w:val="32"/>
          <w:szCs w:val="32"/>
        </w:rPr>
        <w:t>在项目实施过程中严格按实施方案执行。</w:t>
      </w:r>
    </w:p>
    <w:p w14:paraId="182D0FD2">
      <w:pPr>
        <w:numPr>
          <w:ilvl w:val="0"/>
          <w:numId w:val="1"/>
        </w:numPr>
        <w:adjustRightInd w:val="0"/>
        <w:snapToGrid w:val="0"/>
        <w:spacing w:line="288" w:lineRule="auto"/>
        <w:jc w:val="left"/>
        <w:rPr>
          <w:rFonts w:eastAsia="仿宋_GB2312"/>
          <w:b/>
          <w:bCs/>
          <w:color w:val="000000" w:themeColor="text1"/>
          <w:sz w:val="28"/>
          <w:szCs w:val="28"/>
          <w14:textFill>
            <w14:solidFill>
              <w14:schemeClr w14:val="tx1"/>
            </w14:solidFill>
          </w14:textFill>
        </w:rPr>
      </w:pPr>
      <w:r>
        <w:rPr>
          <w:rFonts w:hint="default" w:ascii="Times New Roman" w:hAnsi="Times New Roman" w:eastAsia="楷体_GB2312" w:cs="Times New Roman"/>
          <w:b/>
          <w:color w:val="auto"/>
          <w:sz w:val="32"/>
          <w:szCs w:val="32"/>
          <w:highlight w:val="none"/>
          <w:u w:val="none"/>
          <w:lang w:val="en-US" w:eastAsia="zh-CN"/>
        </w:rPr>
        <w:t>预算安排及分配管理</w:t>
      </w:r>
      <w:r>
        <w:rPr>
          <w:rFonts w:hint="default" w:ascii="Times New Roman" w:hAnsi="Times New Roman" w:eastAsia="楷体_GB2312" w:cs="Times New Roman"/>
          <w:b/>
          <w:color w:val="auto"/>
          <w:sz w:val="32"/>
          <w:szCs w:val="32"/>
          <w:highlight w:val="none"/>
          <w:u w:val="none"/>
          <w:lang w:val="zh-CN" w:eastAsia="zh-CN"/>
        </w:rPr>
        <w:t>。</w:t>
      </w:r>
      <w:r>
        <w:rPr>
          <w:rFonts w:hint="eastAsia" w:eastAsia="楷体_GB2312" w:cs="Times New Roman"/>
          <w:b/>
          <w:color w:val="auto"/>
          <w:sz w:val="32"/>
          <w:szCs w:val="32"/>
          <w:highlight w:val="none"/>
          <w:u w:val="none"/>
          <w:lang w:val="zh-CN" w:eastAsia="zh-CN"/>
        </w:rPr>
        <w:t>见下表</w:t>
      </w:r>
    </w:p>
    <w:p w14:paraId="23D0684A">
      <w:pPr>
        <w:pStyle w:val="3"/>
      </w:pPr>
    </w:p>
    <w:p w14:paraId="494A9005">
      <w:pPr>
        <w:numPr>
          <w:ilvl w:val="0"/>
          <w:numId w:val="0"/>
        </w:numPr>
        <w:adjustRightInd w:val="0"/>
        <w:snapToGrid w:val="0"/>
        <w:spacing w:line="288" w:lineRule="auto"/>
        <w:jc w:val="center"/>
        <w:rPr>
          <w:rFonts w:eastAsia="仿宋_GB2312"/>
          <w:b/>
          <w:bCs/>
          <w:color w:val="000000" w:themeColor="text1"/>
          <w:sz w:val="24"/>
          <w:szCs w:val="24"/>
          <w14:textFill>
            <w14:solidFill>
              <w14:schemeClr w14:val="tx1"/>
            </w14:solidFill>
          </w14:textFill>
        </w:rPr>
      </w:pPr>
      <w:r>
        <w:rPr>
          <w:rFonts w:eastAsia="仿宋_GB2312"/>
          <w:b/>
          <w:bCs/>
          <w:color w:val="000000" w:themeColor="text1"/>
          <w:sz w:val="24"/>
          <w:szCs w:val="24"/>
          <w14:textFill>
            <w14:solidFill>
              <w14:schemeClr w14:val="tx1"/>
            </w14:solidFill>
          </w14:textFill>
        </w:rPr>
        <w:t>岷江上游干旱河谷区多用途树种选育与造林质量关键技术研究及应用</w:t>
      </w:r>
      <w:r>
        <w:rPr>
          <w:rFonts w:hint="eastAsia" w:eastAsia="仿宋_GB2312"/>
          <w:b/>
          <w:bCs/>
          <w:color w:val="000000" w:themeColor="text1"/>
          <w:sz w:val="24"/>
          <w:szCs w:val="24"/>
          <w14:textFill>
            <w14:solidFill>
              <w14:schemeClr w14:val="tx1"/>
            </w14:solidFill>
          </w14:textFill>
        </w:rPr>
        <w:t>推广示范项目投资概算表</w:t>
      </w:r>
    </w:p>
    <w:tbl>
      <w:tblPr>
        <w:tblStyle w:val="9"/>
        <w:tblW w:w="9684" w:type="dxa"/>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063"/>
        <w:gridCol w:w="829"/>
        <w:gridCol w:w="1354"/>
        <w:gridCol w:w="851"/>
        <w:gridCol w:w="1019"/>
        <w:gridCol w:w="783"/>
        <w:gridCol w:w="1075"/>
        <w:gridCol w:w="2072"/>
      </w:tblGrid>
      <w:tr w14:paraId="0FC9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8" w:type="dxa"/>
            <w:vMerge w:val="restart"/>
            <w:shd w:val="clear" w:color="auto" w:fill="auto"/>
            <w:vAlign w:val="center"/>
          </w:tcPr>
          <w:p w14:paraId="345871D4">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序号</w:t>
            </w:r>
          </w:p>
        </w:tc>
        <w:tc>
          <w:tcPr>
            <w:tcW w:w="1063" w:type="dxa"/>
            <w:vMerge w:val="restart"/>
            <w:shd w:val="clear" w:color="auto" w:fill="auto"/>
            <w:vAlign w:val="center"/>
          </w:tcPr>
          <w:p w14:paraId="4889A5EC">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项目和费用名称</w:t>
            </w:r>
          </w:p>
        </w:tc>
        <w:tc>
          <w:tcPr>
            <w:tcW w:w="829" w:type="dxa"/>
            <w:vMerge w:val="restart"/>
            <w:shd w:val="clear" w:color="auto" w:fill="auto"/>
            <w:vAlign w:val="center"/>
          </w:tcPr>
          <w:p w14:paraId="4E4DCBAE">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品名</w:t>
            </w:r>
          </w:p>
        </w:tc>
        <w:tc>
          <w:tcPr>
            <w:tcW w:w="1354" w:type="dxa"/>
            <w:vMerge w:val="restart"/>
            <w:shd w:val="clear" w:color="auto" w:fill="auto"/>
            <w:vAlign w:val="center"/>
          </w:tcPr>
          <w:p w14:paraId="3325CA95">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规格、型号（结构）</w:t>
            </w:r>
          </w:p>
        </w:tc>
        <w:tc>
          <w:tcPr>
            <w:tcW w:w="1870" w:type="dxa"/>
            <w:gridSpan w:val="2"/>
            <w:shd w:val="clear" w:color="auto" w:fill="auto"/>
            <w:vAlign w:val="center"/>
          </w:tcPr>
          <w:p w14:paraId="5AAF8E21">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技术经济指标</w:t>
            </w:r>
          </w:p>
        </w:tc>
        <w:tc>
          <w:tcPr>
            <w:tcW w:w="783" w:type="dxa"/>
            <w:vMerge w:val="restart"/>
            <w:shd w:val="clear" w:color="auto" w:fill="auto"/>
            <w:vAlign w:val="center"/>
          </w:tcPr>
          <w:p w14:paraId="65F75DA3">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数量</w:t>
            </w:r>
          </w:p>
        </w:tc>
        <w:tc>
          <w:tcPr>
            <w:tcW w:w="1075" w:type="dxa"/>
            <w:vMerge w:val="restart"/>
            <w:shd w:val="clear" w:color="auto" w:fill="auto"/>
            <w:vAlign w:val="center"/>
          </w:tcPr>
          <w:p w14:paraId="6657C147">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概算投资（元）</w:t>
            </w:r>
          </w:p>
        </w:tc>
        <w:tc>
          <w:tcPr>
            <w:tcW w:w="2072" w:type="dxa"/>
            <w:vMerge w:val="restart"/>
            <w:shd w:val="clear" w:color="auto" w:fill="auto"/>
            <w:vAlign w:val="center"/>
          </w:tcPr>
          <w:p w14:paraId="678E0D36">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备注</w:t>
            </w:r>
          </w:p>
        </w:tc>
      </w:tr>
      <w:tr w14:paraId="4EAE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638" w:type="dxa"/>
            <w:vMerge w:val="continue"/>
            <w:vAlign w:val="center"/>
          </w:tcPr>
          <w:p w14:paraId="063F358A">
            <w:pPr>
              <w:widowControl/>
              <w:spacing w:line="280" w:lineRule="exact"/>
              <w:jc w:val="center"/>
              <w:rPr>
                <w:rFonts w:asciiTheme="minorEastAsia" w:hAnsiTheme="minorEastAsia" w:eastAsiaTheme="minorEastAsia"/>
                <w:b/>
                <w:bCs/>
                <w:kern w:val="0"/>
                <w:sz w:val="21"/>
                <w:szCs w:val="21"/>
              </w:rPr>
            </w:pPr>
          </w:p>
        </w:tc>
        <w:tc>
          <w:tcPr>
            <w:tcW w:w="1063" w:type="dxa"/>
            <w:vMerge w:val="continue"/>
            <w:vAlign w:val="center"/>
          </w:tcPr>
          <w:p w14:paraId="34DCDE95">
            <w:pPr>
              <w:widowControl/>
              <w:spacing w:line="280" w:lineRule="exact"/>
              <w:jc w:val="center"/>
              <w:rPr>
                <w:rFonts w:asciiTheme="minorEastAsia" w:hAnsiTheme="minorEastAsia" w:eastAsiaTheme="minorEastAsia"/>
                <w:b/>
                <w:bCs/>
                <w:kern w:val="0"/>
                <w:sz w:val="21"/>
                <w:szCs w:val="21"/>
              </w:rPr>
            </w:pPr>
          </w:p>
        </w:tc>
        <w:tc>
          <w:tcPr>
            <w:tcW w:w="829" w:type="dxa"/>
            <w:vMerge w:val="continue"/>
            <w:vAlign w:val="center"/>
          </w:tcPr>
          <w:p w14:paraId="4E07E2DD">
            <w:pPr>
              <w:widowControl/>
              <w:spacing w:line="280" w:lineRule="exact"/>
              <w:jc w:val="center"/>
              <w:rPr>
                <w:rFonts w:asciiTheme="minorEastAsia" w:hAnsiTheme="minorEastAsia" w:eastAsiaTheme="minorEastAsia"/>
                <w:b/>
                <w:bCs/>
                <w:kern w:val="0"/>
                <w:sz w:val="21"/>
                <w:szCs w:val="21"/>
              </w:rPr>
            </w:pPr>
          </w:p>
        </w:tc>
        <w:tc>
          <w:tcPr>
            <w:tcW w:w="1354" w:type="dxa"/>
            <w:vMerge w:val="continue"/>
            <w:vAlign w:val="center"/>
          </w:tcPr>
          <w:p w14:paraId="05787373">
            <w:pPr>
              <w:widowControl/>
              <w:spacing w:line="280" w:lineRule="exact"/>
              <w:jc w:val="center"/>
              <w:rPr>
                <w:rFonts w:asciiTheme="minorEastAsia" w:hAnsiTheme="minorEastAsia" w:eastAsiaTheme="minorEastAsia"/>
                <w:b/>
                <w:bCs/>
                <w:kern w:val="0"/>
                <w:sz w:val="21"/>
                <w:szCs w:val="21"/>
              </w:rPr>
            </w:pPr>
          </w:p>
        </w:tc>
        <w:tc>
          <w:tcPr>
            <w:tcW w:w="851" w:type="dxa"/>
            <w:shd w:val="clear" w:color="auto" w:fill="auto"/>
            <w:vAlign w:val="center"/>
          </w:tcPr>
          <w:p w14:paraId="04625885">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单位</w:t>
            </w:r>
          </w:p>
        </w:tc>
        <w:tc>
          <w:tcPr>
            <w:tcW w:w="1019" w:type="dxa"/>
            <w:shd w:val="clear" w:color="auto" w:fill="auto"/>
            <w:tcMar>
              <w:left w:w="11" w:type="dxa"/>
              <w:right w:w="11" w:type="dxa"/>
            </w:tcMar>
            <w:vAlign w:val="center"/>
          </w:tcPr>
          <w:p w14:paraId="10900029">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单价(元)</w:t>
            </w:r>
          </w:p>
        </w:tc>
        <w:tc>
          <w:tcPr>
            <w:tcW w:w="783" w:type="dxa"/>
            <w:vMerge w:val="continue"/>
            <w:vAlign w:val="center"/>
          </w:tcPr>
          <w:p w14:paraId="038707A6">
            <w:pPr>
              <w:widowControl/>
              <w:spacing w:line="280" w:lineRule="exact"/>
              <w:jc w:val="center"/>
              <w:rPr>
                <w:rFonts w:asciiTheme="minorEastAsia" w:hAnsiTheme="minorEastAsia" w:eastAsiaTheme="minorEastAsia"/>
                <w:b/>
                <w:bCs/>
                <w:kern w:val="0"/>
                <w:sz w:val="21"/>
                <w:szCs w:val="21"/>
              </w:rPr>
            </w:pPr>
          </w:p>
        </w:tc>
        <w:tc>
          <w:tcPr>
            <w:tcW w:w="1075" w:type="dxa"/>
            <w:vMerge w:val="continue"/>
            <w:vAlign w:val="center"/>
          </w:tcPr>
          <w:p w14:paraId="1CEA5713">
            <w:pPr>
              <w:widowControl/>
              <w:spacing w:line="280" w:lineRule="exact"/>
              <w:jc w:val="center"/>
              <w:rPr>
                <w:rFonts w:asciiTheme="minorEastAsia" w:hAnsiTheme="minorEastAsia" w:eastAsiaTheme="minorEastAsia"/>
                <w:b/>
                <w:bCs/>
                <w:kern w:val="0"/>
                <w:sz w:val="21"/>
                <w:szCs w:val="21"/>
              </w:rPr>
            </w:pPr>
          </w:p>
        </w:tc>
        <w:tc>
          <w:tcPr>
            <w:tcW w:w="2072" w:type="dxa"/>
            <w:vMerge w:val="continue"/>
            <w:vAlign w:val="center"/>
          </w:tcPr>
          <w:p w14:paraId="5370608A">
            <w:pPr>
              <w:widowControl/>
              <w:spacing w:line="280" w:lineRule="exact"/>
              <w:jc w:val="center"/>
              <w:rPr>
                <w:rFonts w:asciiTheme="minorEastAsia" w:hAnsiTheme="minorEastAsia" w:eastAsiaTheme="minorEastAsia"/>
                <w:b/>
                <w:bCs/>
                <w:kern w:val="0"/>
                <w:sz w:val="21"/>
                <w:szCs w:val="21"/>
              </w:rPr>
            </w:pPr>
          </w:p>
        </w:tc>
      </w:tr>
      <w:tr w14:paraId="0A19B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38" w:type="dxa"/>
            <w:shd w:val="clear" w:color="auto" w:fill="auto"/>
            <w:noWrap/>
            <w:vAlign w:val="center"/>
          </w:tcPr>
          <w:p w14:paraId="29190900">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1</w:t>
            </w:r>
          </w:p>
        </w:tc>
        <w:tc>
          <w:tcPr>
            <w:tcW w:w="1063" w:type="dxa"/>
            <w:shd w:val="clear" w:color="auto" w:fill="auto"/>
            <w:noWrap/>
            <w:vAlign w:val="center"/>
          </w:tcPr>
          <w:p w14:paraId="4500F696">
            <w:pPr>
              <w:widowControl/>
              <w:spacing w:line="280" w:lineRule="exact"/>
              <w:jc w:val="left"/>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示范基地建设费</w:t>
            </w:r>
          </w:p>
        </w:tc>
        <w:tc>
          <w:tcPr>
            <w:tcW w:w="829" w:type="dxa"/>
            <w:shd w:val="clear" w:color="auto" w:fill="auto"/>
            <w:noWrap/>
            <w:vAlign w:val="center"/>
          </w:tcPr>
          <w:p w14:paraId="4B83D6EE">
            <w:pPr>
              <w:widowControl/>
              <w:spacing w:line="280" w:lineRule="exact"/>
              <w:jc w:val="center"/>
              <w:rPr>
                <w:rFonts w:asciiTheme="minorEastAsia" w:hAnsiTheme="minorEastAsia" w:eastAsiaTheme="minorEastAsia"/>
                <w:b/>
                <w:bCs/>
                <w:kern w:val="0"/>
                <w:sz w:val="21"/>
                <w:szCs w:val="21"/>
              </w:rPr>
            </w:pPr>
          </w:p>
        </w:tc>
        <w:tc>
          <w:tcPr>
            <w:tcW w:w="1354" w:type="dxa"/>
            <w:shd w:val="clear" w:color="auto" w:fill="auto"/>
            <w:vAlign w:val="center"/>
          </w:tcPr>
          <w:p w14:paraId="4767F17D">
            <w:pPr>
              <w:widowControl/>
              <w:spacing w:line="280" w:lineRule="exact"/>
              <w:jc w:val="center"/>
              <w:rPr>
                <w:rFonts w:asciiTheme="minorEastAsia" w:hAnsiTheme="minorEastAsia" w:eastAsiaTheme="minorEastAsia"/>
                <w:b/>
                <w:bCs/>
                <w:kern w:val="0"/>
                <w:sz w:val="21"/>
                <w:szCs w:val="21"/>
              </w:rPr>
            </w:pPr>
          </w:p>
        </w:tc>
        <w:tc>
          <w:tcPr>
            <w:tcW w:w="851" w:type="dxa"/>
            <w:shd w:val="clear" w:color="auto" w:fill="auto"/>
            <w:noWrap/>
            <w:vAlign w:val="center"/>
          </w:tcPr>
          <w:p w14:paraId="6F0F3752">
            <w:pPr>
              <w:widowControl/>
              <w:spacing w:line="280" w:lineRule="exact"/>
              <w:jc w:val="center"/>
              <w:rPr>
                <w:rFonts w:asciiTheme="minorEastAsia" w:hAnsiTheme="minorEastAsia" w:eastAsiaTheme="minorEastAsia"/>
                <w:b/>
                <w:bCs/>
                <w:kern w:val="0"/>
                <w:sz w:val="21"/>
                <w:szCs w:val="21"/>
              </w:rPr>
            </w:pPr>
          </w:p>
        </w:tc>
        <w:tc>
          <w:tcPr>
            <w:tcW w:w="1019" w:type="dxa"/>
            <w:shd w:val="clear" w:color="auto" w:fill="auto"/>
            <w:noWrap/>
            <w:vAlign w:val="center"/>
          </w:tcPr>
          <w:p w14:paraId="0CBB075A">
            <w:pPr>
              <w:widowControl/>
              <w:spacing w:line="280" w:lineRule="exact"/>
              <w:jc w:val="center"/>
              <w:rPr>
                <w:rFonts w:asciiTheme="minorEastAsia" w:hAnsiTheme="minorEastAsia" w:eastAsiaTheme="minorEastAsia"/>
                <w:b/>
                <w:bCs/>
                <w:kern w:val="0"/>
                <w:sz w:val="21"/>
                <w:szCs w:val="21"/>
              </w:rPr>
            </w:pPr>
          </w:p>
        </w:tc>
        <w:tc>
          <w:tcPr>
            <w:tcW w:w="783" w:type="dxa"/>
            <w:shd w:val="clear" w:color="auto" w:fill="auto"/>
            <w:noWrap/>
            <w:vAlign w:val="center"/>
          </w:tcPr>
          <w:p w14:paraId="435709A7">
            <w:pPr>
              <w:widowControl/>
              <w:spacing w:line="280" w:lineRule="exact"/>
              <w:jc w:val="center"/>
              <w:rPr>
                <w:rFonts w:asciiTheme="minorEastAsia" w:hAnsiTheme="minorEastAsia" w:eastAsiaTheme="minorEastAsia"/>
                <w:b/>
                <w:bCs/>
                <w:kern w:val="0"/>
                <w:sz w:val="21"/>
                <w:szCs w:val="21"/>
              </w:rPr>
            </w:pPr>
          </w:p>
        </w:tc>
        <w:tc>
          <w:tcPr>
            <w:tcW w:w="1075" w:type="dxa"/>
            <w:shd w:val="clear" w:color="auto" w:fill="auto"/>
            <w:noWrap/>
            <w:vAlign w:val="center"/>
          </w:tcPr>
          <w:p w14:paraId="3E3433F7">
            <w:pPr>
              <w:widowControl/>
              <w:spacing w:line="280" w:lineRule="exact"/>
              <w:jc w:val="center"/>
              <w:rPr>
                <w:rFonts w:asciiTheme="minorEastAsia" w:hAnsiTheme="minorEastAsia" w:eastAsiaTheme="minorEastAsia"/>
                <w:b/>
                <w:bCs/>
                <w:kern w:val="0"/>
                <w:sz w:val="21"/>
                <w:szCs w:val="21"/>
              </w:rPr>
            </w:pPr>
            <w:r>
              <w:rPr>
                <w:rFonts w:hint="eastAsia" w:asciiTheme="minorEastAsia" w:hAnsiTheme="minorEastAsia" w:eastAsiaTheme="minorEastAsia"/>
                <w:b/>
                <w:bCs/>
                <w:kern w:val="0"/>
                <w:sz w:val="21"/>
                <w:szCs w:val="21"/>
                <w:lang w:val="en-US" w:eastAsia="zh-CN"/>
              </w:rPr>
              <w:t>523269</w:t>
            </w:r>
            <w:r>
              <w:rPr>
                <w:rFonts w:hint="eastAsia" w:asciiTheme="minorEastAsia" w:hAnsiTheme="minorEastAsia" w:eastAsiaTheme="minorEastAsia"/>
                <w:b/>
                <w:bCs/>
                <w:kern w:val="0"/>
                <w:sz w:val="21"/>
                <w:szCs w:val="21"/>
              </w:rPr>
              <w:t>.0</w:t>
            </w:r>
          </w:p>
        </w:tc>
        <w:tc>
          <w:tcPr>
            <w:tcW w:w="2072" w:type="dxa"/>
            <w:shd w:val="clear" w:color="auto" w:fill="auto"/>
            <w:vAlign w:val="center"/>
          </w:tcPr>
          <w:p w14:paraId="46A51FD6">
            <w:pPr>
              <w:widowControl/>
              <w:spacing w:line="280" w:lineRule="exact"/>
              <w:jc w:val="center"/>
              <w:rPr>
                <w:rFonts w:asciiTheme="minorEastAsia" w:hAnsiTheme="minorEastAsia" w:eastAsiaTheme="minorEastAsia"/>
                <w:b/>
                <w:bCs/>
                <w:kern w:val="0"/>
                <w:sz w:val="21"/>
                <w:szCs w:val="21"/>
              </w:rPr>
            </w:pPr>
          </w:p>
        </w:tc>
      </w:tr>
      <w:tr w14:paraId="26F35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8" w:type="dxa"/>
            <w:shd w:val="clear" w:color="auto" w:fill="auto"/>
            <w:noWrap/>
            <w:vAlign w:val="center"/>
          </w:tcPr>
          <w:p w14:paraId="3012FEEB">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1.1</w:t>
            </w:r>
          </w:p>
        </w:tc>
        <w:tc>
          <w:tcPr>
            <w:tcW w:w="1063" w:type="dxa"/>
            <w:shd w:val="clear" w:color="auto" w:fill="auto"/>
            <w:noWrap/>
            <w:vAlign w:val="center"/>
          </w:tcPr>
          <w:p w14:paraId="07DE7A31">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种苗费</w:t>
            </w:r>
          </w:p>
        </w:tc>
        <w:tc>
          <w:tcPr>
            <w:tcW w:w="829" w:type="dxa"/>
            <w:shd w:val="clear" w:color="auto" w:fill="auto"/>
            <w:vAlign w:val="center"/>
          </w:tcPr>
          <w:p w14:paraId="22EF0230">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岷江柏</w:t>
            </w:r>
          </w:p>
        </w:tc>
        <w:tc>
          <w:tcPr>
            <w:tcW w:w="1354" w:type="dxa"/>
            <w:shd w:val="clear" w:color="auto" w:fill="auto"/>
            <w:vAlign w:val="center"/>
          </w:tcPr>
          <w:p w14:paraId="743C2725">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地径2cm以上、苗高≥120cm、二年生以上苗、营养钵苗</w:t>
            </w:r>
          </w:p>
        </w:tc>
        <w:tc>
          <w:tcPr>
            <w:tcW w:w="851" w:type="dxa"/>
            <w:shd w:val="clear" w:color="auto" w:fill="auto"/>
            <w:noWrap/>
            <w:vAlign w:val="center"/>
          </w:tcPr>
          <w:p w14:paraId="03319A96">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株</w:t>
            </w:r>
          </w:p>
        </w:tc>
        <w:tc>
          <w:tcPr>
            <w:tcW w:w="1019" w:type="dxa"/>
            <w:shd w:val="clear" w:color="auto" w:fill="auto"/>
            <w:noWrap/>
            <w:vAlign w:val="center"/>
          </w:tcPr>
          <w:p w14:paraId="7E868657">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14</w:t>
            </w:r>
          </w:p>
        </w:tc>
        <w:tc>
          <w:tcPr>
            <w:tcW w:w="783" w:type="dxa"/>
            <w:shd w:val="clear" w:color="auto" w:fill="auto"/>
            <w:noWrap/>
            <w:vAlign w:val="center"/>
          </w:tcPr>
          <w:p w14:paraId="717FE223">
            <w:pPr>
              <w:widowControl/>
              <w:spacing w:line="280" w:lineRule="exact"/>
              <w:jc w:val="center"/>
              <w:rPr>
                <w:rFonts w:asciiTheme="minorEastAsia" w:hAnsiTheme="minorEastAsia" w:eastAsiaTheme="minorEastAsia"/>
                <w:color w:val="000000"/>
                <w:kern w:val="0"/>
                <w:sz w:val="21"/>
                <w:szCs w:val="21"/>
              </w:rPr>
            </w:pPr>
            <w:r>
              <w:rPr>
                <w:rFonts w:hint="eastAsia" w:asciiTheme="minorEastAsia" w:hAnsiTheme="minorEastAsia" w:eastAsiaTheme="minorEastAsia"/>
                <w:color w:val="000000"/>
                <w:kern w:val="0"/>
                <w:sz w:val="21"/>
                <w:szCs w:val="21"/>
              </w:rPr>
              <w:t>14403</w:t>
            </w:r>
          </w:p>
        </w:tc>
        <w:tc>
          <w:tcPr>
            <w:tcW w:w="1075" w:type="dxa"/>
            <w:shd w:val="clear" w:color="auto" w:fill="auto"/>
            <w:noWrap/>
            <w:vAlign w:val="center"/>
          </w:tcPr>
          <w:p w14:paraId="7660917C">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201642.0</w:t>
            </w:r>
          </w:p>
        </w:tc>
        <w:tc>
          <w:tcPr>
            <w:tcW w:w="2072" w:type="dxa"/>
            <w:shd w:val="clear" w:color="auto" w:fill="auto"/>
            <w:vAlign w:val="center"/>
          </w:tcPr>
          <w:p w14:paraId="2A67940F">
            <w:pPr>
              <w:widowControl/>
              <w:spacing w:line="280" w:lineRule="exact"/>
              <w:jc w:val="left"/>
              <w:rPr>
                <w:rFonts w:asciiTheme="minorEastAsia" w:hAnsiTheme="minorEastAsia" w:eastAsiaTheme="minorEastAsia"/>
                <w:color w:val="000000"/>
                <w:kern w:val="0"/>
                <w:sz w:val="21"/>
                <w:szCs w:val="21"/>
              </w:rPr>
            </w:pPr>
            <w:r>
              <w:rPr>
                <w:rFonts w:asciiTheme="minorEastAsia" w:hAnsiTheme="minorEastAsia" w:eastAsiaTheme="minorEastAsia"/>
                <w:kern w:val="0"/>
                <w:sz w:val="21"/>
                <w:szCs w:val="21"/>
              </w:rPr>
              <w:t>亩用苗</w:t>
            </w:r>
            <w:r>
              <w:rPr>
                <w:rFonts w:hint="eastAsia" w:asciiTheme="minorEastAsia" w:hAnsiTheme="minorEastAsia" w:eastAsiaTheme="minorEastAsia"/>
                <w:kern w:val="0"/>
                <w:sz w:val="21"/>
                <w:szCs w:val="21"/>
              </w:rPr>
              <w:t>167</w:t>
            </w:r>
            <w:r>
              <w:rPr>
                <w:rFonts w:asciiTheme="minorEastAsia" w:hAnsiTheme="minorEastAsia" w:eastAsiaTheme="minorEastAsia"/>
                <w:kern w:val="0"/>
                <w:sz w:val="21"/>
                <w:szCs w:val="21"/>
              </w:rPr>
              <w:t>株，共计</w:t>
            </w:r>
            <w:r>
              <w:rPr>
                <w:rFonts w:hint="eastAsia" w:asciiTheme="minorEastAsia" w:hAnsiTheme="minorEastAsia" w:eastAsiaTheme="minorEastAsia"/>
                <w:kern w:val="0"/>
                <w:sz w:val="21"/>
                <w:szCs w:val="21"/>
              </w:rPr>
              <w:t>75</w:t>
            </w:r>
            <w:r>
              <w:rPr>
                <w:rFonts w:asciiTheme="minorEastAsia" w:hAnsiTheme="minorEastAsia" w:eastAsiaTheme="minorEastAsia"/>
                <w:kern w:val="0"/>
                <w:sz w:val="21"/>
                <w:szCs w:val="21"/>
              </w:rPr>
              <w:t>亩（含</w:t>
            </w:r>
            <w:r>
              <w:rPr>
                <w:rFonts w:hint="eastAsia" w:asciiTheme="minorEastAsia" w:hAnsiTheme="minorEastAsia" w:eastAsiaTheme="minorEastAsia"/>
                <w:kern w:val="0"/>
                <w:sz w:val="21"/>
                <w:szCs w:val="21"/>
              </w:rPr>
              <w:t>补植量、</w:t>
            </w:r>
            <w:r>
              <w:rPr>
                <w:rFonts w:asciiTheme="minorEastAsia" w:hAnsiTheme="minorEastAsia" w:eastAsiaTheme="minorEastAsia"/>
                <w:kern w:val="0"/>
                <w:sz w:val="21"/>
                <w:szCs w:val="21"/>
              </w:rPr>
              <w:t>运费，上下车费）</w:t>
            </w:r>
          </w:p>
        </w:tc>
      </w:tr>
      <w:tr w14:paraId="3BDC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38" w:type="dxa"/>
            <w:shd w:val="clear" w:color="auto" w:fill="auto"/>
            <w:noWrap/>
            <w:vAlign w:val="center"/>
          </w:tcPr>
          <w:p w14:paraId="028EB62B">
            <w:pPr>
              <w:widowControl/>
              <w:spacing w:line="280" w:lineRule="exact"/>
              <w:jc w:val="center"/>
              <w:rPr>
                <w:rFonts w:asciiTheme="minorEastAsia" w:hAnsiTheme="minorEastAsia" w:eastAsiaTheme="minorEastAsia"/>
                <w:kern w:val="0"/>
                <w:sz w:val="21"/>
                <w:szCs w:val="21"/>
              </w:rPr>
            </w:pPr>
          </w:p>
        </w:tc>
        <w:tc>
          <w:tcPr>
            <w:tcW w:w="1063" w:type="dxa"/>
            <w:shd w:val="clear" w:color="auto" w:fill="auto"/>
            <w:noWrap/>
            <w:vAlign w:val="center"/>
          </w:tcPr>
          <w:p w14:paraId="2D37506A">
            <w:pPr>
              <w:widowControl/>
              <w:spacing w:line="280" w:lineRule="exact"/>
              <w:jc w:val="left"/>
              <w:rPr>
                <w:rFonts w:asciiTheme="minorEastAsia" w:hAnsiTheme="minorEastAsia" w:eastAsiaTheme="minorEastAsia"/>
                <w:kern w:val="0"/>
                <w:sz w:val="21"/>
                <w:szCs w:val="21"/>
              </w:rPr>
            </w:pPr>
          </w:p>
        </w:tc>
        <w:tc>
          <w:tcPr>
            <w:tcW w:w="829" w:type="dxa"/>
            <w:shd w:val="clear" w:color="auto" w:fill="auto"/>
            <w:vAlign w:val="center"/>
          </w:tcPr>
          <w:p w14:paraId="4FE1DF58">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西康扁桃</w:t>
            </w:r>
          </w:p>
        </w:tc>
        <w:tc>
          <w:tcPr>
            <w:tcW w:w="1354" w:type="dxa"/>
            <w:shd w:val="clear" w:color="auto" w:fill="auto"/>
            <w:vAlign w:val="center"/>
          </w:tcPr>
          <w:p w14:paraId="7FF3D903">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地径1.0cm以上，苗高≥100cm，二年生以上苗、营养钵苗</w:t>
            </w:r>
          </w:p>
        </w:tc>
        <w:tc>
          <w:tcPr>
            <w:tcW w:w="851" w:type="dxa"/>
            <w:shd w:val="clear" w:color="auto" w:fill="auto"/>
            <w:noWrap/>
            <w:vAlign w:val="center"/>
          </w:tcPr>
          <w:p w14:paraId="3D606D00">
            <w:pPr>
              <w:widowControl/>
              <w:tabs>
                <w:tab w:val="left" w:pos="233"/>
              </w:tabs>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ab/>
            </w:r>
            <w:r>
              <w:rPr>
                <w:rFonts w:hint="eastAsia" w:asciiTheme="minorEastAsia" w:hAnsiTheme="minorEastAsia" w:eastAsiaTheme="minorEastAsia"/>
                <w:kern w:val="0"/>
                <w:sz w:val="21"/>
                <w:szCs w:val="21"/>
              </w:rPr>
              <w:t>株</w:t>
            </w:r>
          </w:p>
        </w:tc>
        <w:tc>
          <w:tcPr>
            <w:tcW w:w="1019" w:type="dxa"/>
            <w:shd w:val="clear" w:color="auto" w:fill="auto"/>
            <w:noWrap/>
            <w:vAlign w:val="center"/>
          </w:tcPr>
          <w:p w14:paraId="3FB70301">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9</w:t>
            </w:r>
          </w:p>
        </w:tc>
        <w:tc>
          <w:tcPr>
            <w:tcW w:w="783" w:type="dxa"/>
            <w:shd w:val="clear" w:color="auto" w:fill="auto"/>
            <w:noWrap/>
            <w:vAlign w:val="center"/>
          </w:tcPr>
          <w:p w14:paraId="32DE2938">
            <w:pPr>
              <w:widowControl/>
              <w:spacing w:line="280" w:lineRule="exact"/>
              <w:jc w:val="center"/>
              <w:rPr>
                <w:rFonts w:asciiTheme="minorEastAsia" w:hAnsiTheme="minorEastAsia" w:eastAsiaTheme="minorEastAsia"/>
                <w:color w:val="000000"/>
                <w:kern w:val="0"/>
                <w:sz w:val="21"/>
                <w:szCs w:val="21"/>
              </w:rPr>
            </w:pPr>
            <w:r>
              <w:rPr>
                <w:rFonts w:hint="eastAsia" w:asciiTheme="minorEastAsia" w:hAnsiTheme="minorEastAsia" w:eastAsiaTheme="minorEastAsia"/>
                <w:color w:val="000000"/>
                <w:kern w:val="0"/>
                <w:sz w:val="21"/>
                <w:szCs w:val="21"/>
              </w:rPr>
              <w:t>14403</w:t>
            </w:r>
          </w:p>
        </w:tc>
        <w:tc>
          <w:tcPr>
            <w:tcW w:w="1075" w:type="dxa"/>
            <w:shd w:val="clear" w:color="auto" w:fill="auto"/>
            <w:noWrap/>
            <w:vAlign w:val="center"/>
          </w:tcPr>
          <w:p w14:paraId="69A1065F">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129627.0</w:t>
            </w:r>
          </w:p>
        </w:tc>
        <w:tc>
          <w:tcPr>
            <w:tcW w:w="2072" w:type="dxa"/>
            <w:shd w:val="clear" w:color="auto" w:fill="auto"/>
            <w:vAlign w:val="center"/>
          </w:tcPr>
          <w:p w14:paraId="732395A9">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亩用苗</w:t>
            </w:r>
            <w:r>
              <w:rPr>
                <w:rFonts w:hint="eastAsia" w:asciiTheme="minorEastAsia" w:hAnsiTheme="minorEastAsia" w:eastAsiaTheme="minorEastAsia"/>
                <w:kern w:val="0"/>
                <w:sz w:val="21"/>
                <w:szCs w:val="21"/>
              </w:rPr>
              <w:t>167</w:t>
            </w:r>
            <w:r>
              <w:rPr>
                <w:rFonts w:asciiTheme="minorEastAsia" w:hAnsiTheme="minorEastAsia" w:eastAsiaTheme="minorEastAsia"/>
                <w:kern w:val="0"/>
                <w:sz w:val="21"/>
                <w:szCs w:val="21"/>
              </w:rPr>
              <w:t>株，共计</w:t>
            </w:r>
            <w:r>
              <w:rPr>
                <w:rFonts w:hint="eastAsia" w:asciiTheme="minorEastAsia" w:hAnsiTheme="minorEastAsia" w:eastAsiaTheme="minorEastAsia"/>
                <w:kern w:val="0"/>
                <w:sz w:val="21"/>
                <w:szCs w:val="21"/>
              </w:rPr>
              <w:t>75</w:t>
            </w:r>
            <w:r>
              <w:rPr>
                <w:rFonts w:asciiTheme="minorEastAsia" w:hAnsiTheme="minorEastAsia" w:eastAsiaTheme="minorEastAsia"/>
                <w:kern w:val="0"/>
                <w:sz w:val="21"/>
                <w:szCs w:val="21"/>
              </w:rPr>
              <w:t>亩（含</w:t>
            </w:r>
            <w:r>
              <w:rPr>
                <w:rFonts w:hint="eastAsia" w:asciiTheme="minorEastAsia" w:hAnsiTheme="minorEastAsia" w:eastAsiaTheme="minorEastAsia"/>
                <w:kern w:val="0"/>
                <w:sz w:val="21"/>
                <w:szCs w:val="21"/>
              </w:rPr>
              <w:t>补植量、</w:t>
            </w:r>
            <w:r>
              <w:rPr>
                <w:rFonts w:asciiTheme="minorEastAsia" w:hAnsiTheme="minorEastAsia" w:eastAsiaTheme="minorEastAsia"/>
                <w:kern w:val="0"/>
                <w:sz w:val="21"/>
                <w:szCs w:val="21"/>
              </w:rPr>
              <w:t>运费，上下车费）</w:t>
            </w:r>
          </w:p>
        </w:tc>
      </w:tr>
      <w:tr w14:paraId="1D29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8" w:type="dxa"/>
            <w:shd w:val="clear" w:color="auto" w:fill="auto"/>
            <w:noWrap/>
            <w:vAlign w:val="center"/>
          </w:tcPr>
          <w:p w14:paraId="288D8401">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1.2</w:t>
            </w:r>
          </w:p>
        </w:tc>
        <w:tc>
          <w:tcPr>
            <w:tcW w:w="1063" w:type="dxa"/>
            <w:shd w:val="clear" w:color="auto" w:fill="auto"/>
            <w:noWrap/>
            <w:vAlign w:val="center"/>
          </w:tcPr>
          <w:p w14:paraId="657BB917">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肥料</w:t>
            </w:r>
          </w:p>
        </w:tc>
        <w:tc>
          <w:tcPr>
            <w:tcW w:w="829" w:type="dxa"/>
            <w:shd w:val="clear" w:color="auto" w:fill="auto"/>
            <w:vAlign w:val="center"/>
          </w:tcPr>
          <w:p w14:paraId="1118B218">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生物有机肥</w:t>
            </w:r>
          </w:p>
        </w:tc>
        <w:tc>
          <w:tcPr>
            <w:tcW w:w="1354" w:type="dxa"/>
            <w:shd w:val="clear" w:color="auto" w:fill="auto"/>
            <w:vAlign w:val="center"/>
          </w:tcPr>
          <w:p w14:paraId="4442E708">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根据《有机肥料》NY525-2012标准</w:t>
            </w:r>
          </w:p>
        </w:tc>
        <w:tc>
          <w:tcPr>
            <w:tcW w:w="851" w:type="dxa"/>
            <w:shd w:val="clear" w:color="auto" w:fill="auto"/>
            <w:noWrap/>
            <w:vAlign w:val="center"/>
          </w:tcPr>
          <w:p w14:paraId="78A4092C">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吨</w:t>
            </w:r>
          </w:p>
        </w:tc>
        <w:tc>
          <w:tcPr>
            <w:tcW w:w="1019" w:type="dxa"/>
            <w:shd w:val="clear" w:color="auto" w:fill="auto"/>
            <w:noWrap/>
            <w:vAlign w:val="center"/>
          </w:tcPr>
          <w:p w14:paraId="4CDF7A3C">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1000</w:t>
            </w:r>
          </w:p>
        </w:tc>
        <w:tc>
          <w:tcPr>
            <w:tcW w:w="783" w:type="dxa"/>
            <w:shd w:val="clear" w:color="auto" w:fill="auto"/>
            <w:noWrap/>
            <w:vAlign w:val="center"/>
          </w:tcPr>
          <w:p w14:paraId="6E824F5F">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40</w:t>
            </w:r>
          </w:p>
        </w:tc>
        <w:tc>
          <w:tcPr>
            <w:tcW w:w="1075" w:type="dxa"/>
            <w:shd w:val="clear" w:color="auto" w:fill="auto"/>
            <w:noWrap/>
            <w:vAlign w:val="center"/>
          </w:tcPr>
          <w:p w14:paraId="265DE2A3">
            <w:pPr>
              <w:widowControl/>
              <w:spacing w:line="280" w:lineRule="exact"/>
              <w:jc w:val="center"/>
              <w:rPr>
                <w:rFonts w:hint="default" w:asciiTheme="minorEastAsia" w:hAnsiTheme="minorEastAsia" w:eastAsiaTheme="minorEastAsia"/>
                <w:color w:val="000000"/>
                <w:kern w:val="0"/>
                <w:sz w:val="21"/>
                <w:szCs w:val="21"/>
                <w:lang w:val="en-US" w:eastAsia="zh-CN"/>
              </w:rPr>
            </w:pPr>
            <w:r>
              <w:rPr>
                <w:rFonts w:hint="eastAsia" w:asciiTheme="minorEastAsia" w:hAnsiTheme="minorEastAsia" w:eastAsiaTheme="minorEastAsia"/>
                <w:color w:val="000000"/>
                <w:kern w:val="0"/>
                <w:sz w:val="21"/>
                <w:szCs w:val="21"/>
                <w:lang w:val="en-US" w:eastAsia="zh-CN"/>
              </w:rPr>
              <w:t>40000.0</w:t>
            </w:r>
          </w:p>
        </w:tc>
        <w:tc>
          <w:tcPr>
            <w:tcW w:w="2072" w:type="dxa"/>
            <w:shd w:val="clear" w:color="auto" w:fill="auto"/>
            <w:vAlign w:val="center"/>
          </w:tcPr>
          <w:p w14:paraId="783471D4">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含运费，</w:t>
            </w:r>
            <w:r>
              <w:rPr>
                <w:rFonts w:hint="eastAsia" w:asciiTheme="minorEastAsia" w:hAnsiTheme="minorEastAsia" w:eastAsiaTheme="minorEastAsia"/>
                <w:kern w:val="0"/>
                <w:sz w:val="21"/>
                <w:szCs w:val="21"/>
              </w:rPr>
              <w:t>平均亩用量0.25吨</w:t>
            </w:r>
          </w:p>
        </w:tc>
      </w:tr>
      <w:tr w14:paraId="5C8E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38" w:type="dxa"/>
            <w:shd w:val="clear" w:color="auto" w:fill="auto"/>
            <w:noWrap/>
            <w:vAlign w:val="center"/>
          </w:tcPr>
          <w:p w14:paraId="02B27AD9">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1.3</w:t>
            </w:r>
          </w:p>
        </w:tc>
        <w:tc>
          <w:tcPr>
            <w:tcW w:w="1063" w:type="dxa"/>
            <w:shd w:val="clear" w:color="auto" w:fill="auto"/>
            <w:noWrap/>
            <w:vAlign w:val="center"/>
          </w:tcPr>
          <w:p w14:paraId="13CC9388">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劳务费</w:t>
            </w:r>
          </w:p>
        </w:tc>
        <w:tc>
          <w:tcPr>
            <w:tcW w:w="829" w:type="dxa"/>
            <w:shd w:val="clear" w:color="auto" w:fill="auto"/>
            <w:vAlign w:val="center"/>
          </w:tcPr>
          <w:p w14:paraId="46636779">
            <w:pPr>
              <w:widowControl/>
              <w:spacing w:line="280" w:lineRule="exact"/>
              <w:jc w:val="left"/>
              <w:rPr>
                <w:rFonts w:asciiTheme="minorEastAsia" w:hAnsiTheme="minorEastAsia" w:eastAsiaTheme="minorEastAsia"/>
                <w:kern w:val="0"/>
                <w:sz w:val="21"/>
                <w:szCs w:val="21"/>
              </w:rPr>
            </w:pPr>
          </w:p>
        </w:tc>
        <w:tc>
          <w:tcPr>
            <w:tcW w:w="1354" w:type="dxa"/>
            <w:shd w:val="clear" w:color="auto" w:fill="auto"/>
            <w:vAlign w:val="center"/>
          </w:tcPr>
          <w:p w14:paraId="04FA859D">
            <w:pPr>
              <w:widowControl/>
              <w:spacing w:line="280" w:lineRule="exact"/>
              <w:jc w:val="left"/>
              <w:rPr>
                <w:rFonts w:asciiTheme="minorEastAsia" w:hAnsiTheme="minorEastAsia" w:eastAsiaTheme="minorEastAsia"/>
                <w:kern w:val="0"/>
                <w:sz w:val="21"/>
                <w:szCs w:val="21"/>
              </w:rPr>
            </w:pPr>
          </w:p>
        </w:tc>
        <w:tc>
          <w:tcPr>
            <w:tcW w:w="851" w:type="dxa"/>
            <w:shd w:val="clear" w:color="auto" w:fill="auto"/>
            <w:noWrap/>
            <w:vAlign w:val="center"/>
          </w:tcPr>
          <w:p w14:paraId="360722FD">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工日</w:t>
            </w:r>
          </w:p>
        </w:tc>
        <w:tc>
          <w:tcPr>
            <w:tcW w:w="1019" w:type="dxa"/>
            <w:shd w:val="clear" w:color="auto" w:fill="auto"/>
            <w:noWrap/>
            <w:vAlign w:val="center"/>
          </w:tcPr>
          <w:p w14:paraId="017E2099">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lang w:val="en-US" w:eastAsia="zh-CN"/>
              </w:rPr>
              <w:t>2</w:t>
            </w:r>
            <w:r>
              <w:rPr>
                <w:rFonts w:asciiTheme="minorEastAsia" w:hAnsiTheme="minorEastAsia" w:eastAsiaTheme="minorEastAsia"/>
                <w:kern w:val="0"/>
                <w:sz w:val="21"/>
                <w:szCs w:val="21"/>
              </w:rPr>
              <w:t>0</w:t>
            </w:r>
          </w:p>
        </w:tc>
        <w:tc>
          <w:tcPr>
            <w:tcW w:w="783" w:type="dxa"/>
            <w:shd w:val="clear" w:color="auto" w:fill="auto"/>
            <w:noWrap/>
            <w:vAlign w:val="center"/>
          </w:tcPr>
          <w:p w14:paraId="6A932943">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color w:val="000000"/>
                <w:kern w:val="0"/>
                <w:sz w:val="21"/>
                <w:szCs w:val="21"/>
              </w:rPr>
              <w:t>1</w:t>
            </w:r>
            <w:r>
              <w:rPr>
                <w:rFonts w:hint="eastAsia" w:asciiTheme="minorEastAsia" w:hAnsiTheme="minorEastAsia" w:eastAsiaTheme="minorEastAsia"/>
                <w:color w:val="000000"/>
                <w:kern w:val="0"/>
                <w:sz w:val="21"/>
                <w:szCs w:val="21"/>
                <w:lang w:val="en-US" w:eastAsia="zh-CN"/>
              </w:rPr>
              <w:t>35</w:t>
            </w:r>
            <w:r>
              <w:rPr>
                <w:rFonts w:hint="eastAsia" w:asciiTheme="minorEastAsia" w:hAnsiTheme="minorEastAsia" w:eastAsiaTheme="minorEastAsia"/>
                <w:color w:val="000000"/>
                <w:kern w:val="0"/>
                <w:sz w:val="21"/>
                <w:szCs w:val="21"/>
              </w:rPr>
              <w:t>0</w:t>
            </w:r>
          </w:p>
        </w:tc>
        <w:tc>
          <w:tcPr>
            <w:tcW w:w="1075" w:type="dxa"/>
            <w:shd w:val="clear" w:color="auto" w:fill="auto"/>
            <w:noWrap/>
            <w:vAlign w:val="center"/>
          </w:tcPr>
          <w:p w14:paraId="1979B22E">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lang w:val="en-US" w:eastAsia="zh-CN"/>
              </w:rPr>
              <w:t>162000</w:t>
            </w:r>
            <w:r>
              <w:rPr>
                <w:rFonts w:hint="eastAsia" w:asciiTheme="minorEastAsia" w:hAnsiTheme="minorEastAsia" w:eastAsiaTheme="minorEastAsia"/>
                <w:kern w:val="0"/>
                <w:sz w:val="21"/>
                <w:szCs w:val="21"/>
              </w:rPr>
              <w:t>.0</w:t>
            </w:r>
          </w:p>
        </w:tc>
        <w:tc>
          <w:tcPr>
            <w:tcW w:w="2072" w:type="dxa"/>
            <w:shd w:val="clear" w:color="000000" w:fill="FFFFFF" w:themeFill="background1"/>
            <w:vAlign w:val="center"/>
          </w:tcPr>
          <w:p w14:paraId="75CBC290">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平均亩用工</w:t>
            </w:r>
            <w:r>
              <w:rPr>
                <w:rFonts w:hint="eastAsia" w:asciiTheme="minorEastAsia" w:hAnsiTheme="minorEastAsia" w:eastAsiaTheme="minorEastAsia"/>
                <w:kern w:val="0"/>
                <w:sz w:val="21"/>
                <w:szCs w:val="21"/>
                <w:lang w:val="en-US" w:eastAsia="zh-CN"/>
              </w:rPr>
              <w:t>6</w:t>
            </w:r>
            <w:r>
              <w:rPr>
                <w:rFonts w:asciiTheme="minorEastAsia" w:hAnsiTheme="minorEastAsia" w:eastAsiaTheme="minorEastAsia"/>
                <w:kern w:val="0"/>
                <w:sz w:val="21"/>
                <w:szCs w:val="21"/>
              </w:rPr>
              <w:t>工日</w:t>
            </w:r>
            <w:r>
              <w:rPr>
                <w:rFonts w:hint="eastAsia" w:asciiTheme="minorEastAsia" w:hAnsiTheme="minorEastAsia" w:eastAsiaTheme="minorEastAsia"/>
                <w:kern w:val="0"/>
                <w:sz w:val="21"/>
                <w:szCs w:val="21"/>
              </w:rPr>
              <w:t>（其中林地清理</w:t>
            </w:r>
            <w:r>
              <w:rPr>
                <w:rFonts w:hint="eastAsia" w:asciiTheme="minorEastAsia" w:hAnsiTheme="minorEastAsia" w:eastAsiaTheme="minorEastAsia"/>
                <w:kern w:val="0"/>
                <w:sz w:val="21"/>
                <w:szCs w:val="21"/>
                <w:lang w:val="en-US" w:eastAsia="zh-CN"/>
              </w:rPr>
              <w:t>1</w:t>
            </w:r>
            <w:r>
              <w:rPr>
                <w:rFonts w:hint="eastAsia" w:asciiTheme="minorEastAsia" w:hAnsiTheme="minorEastAsia" w:eastAsiaTheme="minorEastAsia"/>
                <w:kern w:val="0"/>
                <w:sz w:val="21"/>
                <w:szCs w:val="21"/>
              </w:rPr>
              <w:t>工日，挖穴、定植</w:t>
            </w:r>
            <w:r>
              <w:rPr>
                <w:rFonts w:hint="eastAsia" w:asciiTheme="minorEastAsia" w:hAnsiTheme="minorEastAsia" w:eastAsiaTheme="minorEastAsia"/>
                <w:kern w:val="0"/>
                <w:sz w:val="21"/>
                <w:szCs w:val="21"/>
                <w:lang w:val="en-US" w:eastAsia="zh-CN"/>
              </w:rPr>
              <w:t>3</w:t>
            </w:r>
            <w:r>
              <w:rPr>
                <w:rFonts w:hint="eastAsia" w:asciiTheme="minorEastAsia" w:hAnsiTheme="minorEastAsia" w:eastAsiaTheme="minorEastAsia"/>
                <w:kern w:val="0"/>
                <w:sz w:val="21"/>
                <w:szCs w:val="21"/>
              </w:rPr>
              <w:t>.</w:t>
            </w:r>
            <w:r>
              <w:rPr>
                <w:rFonts w:hint="eastAsia" w:asciiTheme="minorEastAsia" w:hAnsiTheme="minorEastAsia" w:eastAsiaTheme="minorEastAsia"/>
                <w:kern w:val="0"/>
                <w:sz w:val="21"/>
                <w:szCs w:val="21"/>
                <w:lang w:val="en-US" w:eastAsia="zh-CN"/>
              </w:rPr>
              <w:t>5</w:t>
            </w:r>
            <w:r>
              <w:rPr>
                <w:rFonts w:hint="eastAsia" w:asciiTheme="minorEastAsia" w:hAnsiTheme="minorEastAsia" w:eastAsiaTheme="minorEastAsia"/>
                <w:kern w:val="0"/>
                <w:sz w:val="21"/>
                <w:szCs w:val="21"/>
              </w:rPr>
              <w:t>工日，</w:t>
            </w:r>
            <w:r>
              <w:rPr>
                <w:rFonts w:hint="eastAsia" w:asciiTheme="minorEastAsia" w:hAnsiTheme="minorEastAsia" w:eastAsiaTheme="minorEastAsia"/>
                <w:kern w:val="0"/>
                <w:sz w:val="21"/>
                <w:szCs w:val="21"/>
                <w:lang w:eastAsia="zh-CN"/>
              </w:rPr>
              <w:t>补植</w:t>
            </w:r>
            <w:r>
              <w:rPr>
                <w:rFonts w:hint="eastAsia" w:asciiTheme="minorEastAsia" w:hAnsiTheme="minorEastAsia" w:eastAsiaTheme="minorEastAsia"/>
                <w:kern w:val="0"/>
                <w:sz w:val="21"/>
                <w:szCs w:val="21"/>
                <w:lang w:val="en-US" w:eastAsia="zh-CN"/>
              </w:rPr>
              <w:t>0.5工日</w:t>
            </w:r>
            <w:r>
              <w:rPr>
                <w:rFonts w:hint="eastAsia" w:asciiTheme="minorEastAsia" w:hAnsiTheme="minorEastAsia" w:eastAsiaTheme="minorEastAsia"/>
                <w:kern w:val="0"/>
                <w:sz w:val="21"/>
                <w:szCs w:val="21"/>
              </w:rPr>
              <w:t>管护1工日）</w:t>
            </w:r>
          </w:p>
        </w:tc>
      </w:tr>
      <w:tr w14:paraId="31499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38" w:type="dxa"/>
            <w:shd w:val="clear" w:color="auto" w:fill="auto"/>
            <w:noWrap/>
            <w:vAlign w:val="center"/>
          </w:tcPr>
          <w:p w14:paraId="07F92B70">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1.</w:t>
            </w:r>
            <w:r>
              <w:rPr>
                <w:rFonts w:hint="eastAsia" w:asciiTheme="minorEastAsia" w:hAnsiTheme="minorEastAsia" w:eastAsiaTheme="minorEastAsia"/>
                <w:kern w:val="0"/>
                <w:sz w:val="21"/>
                <w:szCs w:val="21"/>
              </w:rPr>
              <w:t>5</w:t>
            </w:r>
          </w:p>
        </w:tc>
        <w:tc>
          <w:tcPr>
            <w:tcW w:w="1063" w:type="dxa"/>
            <w:shd w:val="clear" w:color="auto" w:fill="auto"/>
            <w:noWrap/>
            <w:vAlign w:val="center"/>
          </w:tcPr>
          <w:p w14:paraId="25F58104">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宣传碑牌</w:t>
            </w:r>
          </w:p>
        </w:tc>
        <w:tc>
          <w:tcPr>
            <w:tcW w:w="829" w:type="dxa"/>
            <w:shd w:val="clear" w:color="auto" w:fill="auto"/>
            <w:noWrap/>
            <w:vAlign w:val="center"/>
          </w:tcPr>
          <w:p w14:paraId="1D7FB0B9">
            <w:pPr>
              <w:widowControl/>
              <w:spacing w:line="280" w:lineRule="exact"/>
              <w:jc w:val="center"/>
              <w:rPr>
                <w:rFonts w:asciiTheme="minorEastAsia" w:hAnsiTheme="minorEastAsia" w:eastAsiaTheme="minorEastAsia"/>
                <w:kern w:val="0"/>
                <w:sz w:val="21"/>
                <w:szCs w:val="21"/>
              </w:rPr>
            </w:pPr>
          </w:p>
        </w:tc>
        <w:tc>
          <w:tcPr>
            <w:tcW w:w="1354" w:type="dxa"/>
            <w:shd w:val="clear" w:color="auto" w:fill="auto"/>
            <w:vAlign w:val="center"/>
          </w:tcPr>
          <w:p w14:paraId="6D1844A7">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钢架结构，高3.5m，宽2.6m</w:t>
            </w:r>
          </w:p>
        </w:tc>
        <w:tc>
          <w:tcPr>
            <w:tcW w:w="851" w:type="dxa"/>
            <w:shd w:val="clear" w:color="auto" w:fill="auto"/>
            <w:noWrap/>
            <w:vAlign w:val="center"/>
          </w:tcPr>
          <w:p w14:paraId="4C0434E5">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座</w:t>
            </w:r>
          </w:p>
        </w:tc>
        <w:tc>
          <w:tcPr>
            <w:tcW w:w="1019" w:type="dxa"/>
            <w:shd w:val="clear" w:color="auto" w:fill="auto"/>
            <w:noWrap/>
            <w:vAlign w:val="center"/>
          </w:tcPr>
          <w:p w14:paraId="621D93F9">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8000</w:t>
            </w:r>
          </w:p>
        </w:tc>
        <w:tc>
          <w:tcPr>
            <w:tcW w:w="783" w:type="dxa"/>
            <w:shd w:val="clear" w:color="auto" w:fill="auto"/>
            <w:noWrap/>
            <w:vAlign w:val="center"/>
          </w:tcPr>
          <w:p w14:paraId="472208AC">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1</w:t>
            </w:r>
          </w:p>
        </w:tc>
        <w:tc>
          <w:tcPr>
            <w:tcW w:w="1075" w:type="dxa"/>
            <w:shd w:val="clear" w:color="auto" w:fill="auto"/>
            <w:noWrap/>
            <w:vAlign w:val="center"/>
          </w:tcPr>
          <w:p w14:paraId="6B3F3CC9">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8000.0</w:t>
            </w:r>
          </w:p>
        </w:tc>
        <w:tc>
          <w:tcPr>
            <w:tcW w:w="2072" w:type="dxa"/>
            <w:shd w:val="clear" w:color="auto" w:fill="auto"/>
            <w:vAlign w:val="center"/>
          </w:tcPr>
          <w:p w14:paraId="5A2E6FF0">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路口设置，用于</w:t>
            </w:r>
            <w:r>
              <w:rPr>
                <w:rFonts w:hint="eastAsia" w:asciiTheme="minorEastAsia" w:hAnsiTheme="minorEastAsia" w:eastAsiaTheme="minorEastAsia"/>
                <w:kern w:val="0"/>
                <w:sz w:val="21"/>
                <w:szCs w:val="21"/>
                <w:lang w:eastAsia="zh-CN"/>
              </w:rPr>
              <w:t>示范</w:t>
            </w:r>
            <w:r>
              <w:rPr>
                <w:rFonts w:hint="eastAsia" w:asciiTheme="minorEastAsia" w:hAnsiTheme="minorEastAsia" w:eastAsiaTheme="minorEastAsia"/>
                <w:kern w:val="0"/>
                <w:sz w:val="21"/>
                <w:szCs w:val="21"/>
              </w:rPr>
              <w:t>宣传</w:t>
            </w:r>
          </w:p>
        </w:tc>
      </w:tr>
      <w:tr w14:paraId="41B6C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8" w:type="dxa"/>
            <w:shd w:val="clear" w:color="auto" w:fill="auto"/>
            <w:noWrap/>
            <w:vAlign w:val="center"/>
          </w:tcPr>
          <w:p w14:paraId="7F35F815">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2</w:t>
            </w:r>
          </w:p>
        </w:tc>
        <w:tc>
          <w:tcPr>
            <w:tcW w:w="1063" w:type="dxa"/>
            <w:shd w:val="clear" w:color="auto" w:fill="auto"/>
            <w:noWrap/>
            <w:vAlign w:val="center"/>
          </w:tcPr>
          <w:p w14:paraId="0DF18C90">
            <w:pPr>
              <w:widowControl/>
              <w:spacing w:line="280" w:lineRule="exact"/>
              <w:jc w:val="left"/>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简易基础设施</w:t>
            </w:r>
          </w:p>
        </w:tc>
        <w:tc>
          <w:tcPr>
            <w:tcW w:w="829" w:type="dxa"/>
            <w:shd w:val="clear" w:color="auto" w:fill="auto"/>
            <w:noWrap/>
            <w:vAlign w:val="center"/>
          </w:tcPr>
          <w:p w14:paraId="1ADFFDE6">
            <w:pPr>
              <w:widowControl/>
              <w:spacing w:line="280" w:lineRule="exact"/>
              <w:jc w:val="center"/>
              <w:rPr>
                <w:rFonts w:asciiTheme="minorEastAsia" w:hAnsiTheme="minorEastAsia" w:eastAsiaTheme="minorEastAsia"/>
                <w:b/>
                <w:bCs/>
                <w:kern w:val="0"/>
                <w:sz w:val="21"/>
                <w:szCs w:val="21"/>
              </w:rPr>
            </w:pPr>
          </w:p>
        </w:tc>
        <w:tc>
          <w:tcPr>
            <w:tcW w:w="1354" w:type="dxa"/>
            <w:shd w:val="clear" w:color="000000" w:fill="FFFFFF"/>
            <w:vAlign w:val="center"/>
          </w:tcPr>
          <w:p w14:paraId="4AED2CD9">
            <w:pPr>
              <w:widowControl/>
              <w:spacing w:line="280" w:lineRule="exact"/>
              <w:jc w:val="center"/>
              <w:rPr>
                <w:rFonts w:asciiTheme="minorEastAsia" w:hAnsiTheme="minorEastAsia" w:eastAsiaTheme="minorEastAsia"/>
                <w:color w:val="000000"/>
                <w:kern w:val="0"/>
                <w:sz w:val="21"/>
                <w:szCs w:val="21"/>
              </w:rPr>
            </w:pPr>
          </w:p>
        </w:tc>
        <w:tc>
          <w:tcPr>
            <w:tcW w:w="851" w:type="dxa"/>
            <w:shd w:val="clear" w:color="auto" w:fill="auto"/>
            <w:noWrap/>
            <w:vAlign w:val="center"/>
          </w:tcPr>
          <w:p w14:paraId="5CCC0E28">
            <w:pPr>
              <w:widowControl/>
              <w:spacing w:line="280" w:lineRule="exact"/>
              <w:jc w:val="center"/>
              <w:rPr>
                <w:rFonts w:asciiTheme="minorEastAsia" w:hAnsiTheme="minorEastAsia" w:eastAsiaTheme="minorEastAsia"/>
                <w:kern w:val="0"/>
                <w:sz w:val="21"/>
                <w:szCs w:val="21"/>
              </w:rPr>
            </w:pPr>
          </w:p>
        </w:tc>
        <w:tc>
          <w:tcPr>
            <w:tcW w:w="1019" w:type="dxa"/>
            <w:shd w:val="clear" w:color="auto" w:fill="auto"/>
            <w:noWrap/>
            <w:vAlign w:val="center"/>
          </w:tcPr>
          <w:p w14:paraId="760EB9A6">
            <w:pPr>
              <w:widowControl/>
              <w:spacing w:line="280" w:lineRule="exact"/>
              <w:jc w:val="center"/>
              <w:rPr>
                <w:rFonts w:asciiTheme="minorEastAsia" w:hAnsiTheme="minorEastAsia" w:eastAsiaTheme="minorEastAsia"/>
                <w:color w:val="000000"/>
                <w:kern w:val="0"/>
                <w:sz w:val="21"/>
                <w:szCs w:val="21"/>
              </w:rPr>
            </w:pPr>
          </w:p>
        </w:tc>
        <w:tc>
          <w:tcPr>
            <w:tcW w:w="783" w:type="dxa"/>
            <w:shd w:val="clear" w:color="auto" w:fill="auto"/>
            <w:noWrap/>
            <w:vAlign w:val="center"/>
          </w:tcPr>
          <w:p w14:paraId="73A0E234">
            <w:pPr>
              <w:widowControl/>
              <w:spacing w:line="280" w:lineRule="exact"/>
              <w:jc w:val="center"/>
              <w:rPr>
                <w:rFonts w:asciiTheme="minorEastAsia" w:hAnsiTheme="minorEastAsia" w:eastAsiaTheme="minorEastAsia"/>
                <w:color w:val="000000"/>
                <w:kern w:val="0"/>
                <w:sz w:val="21"/>
                <w:szCs w:val="21"/>
              </w:rPr>
            </w:pPr>
          </w:p>
        </w:tc>
        <w:tc>
          <w:tcPr>
            <w:tcW w:w="1075" w:type="dxa"/>
            <w:shd w:val="clear" w:color="auto" w:fill="auto"/>
            <w:noWrap/>
            <w:vAlign w:val="center"/>
          </w:tcPr>
          <w:p w14:paraId="2B98AAAF">
            <w:pPr>
              <w:widowControl/>
              <w:spacing w:line="280" w:lineRule="exact"/>
              <w:jc w:val="center"/>
              <w:rPr>
                <w:rFonts w:asciiTheme="minorEastAsia" w:hAnsiTheme="minorEastAsia" w:eastAsiaTheme="minorEastAsia"/>
                <w:color w:val="000000"/>
                <w:kern w:val="0"/>
                <w:sz w:val="21"/>
                <w:szCs w:val="21"/>
              </w:rPr>
            </w:pPr>
            <w:r>
              <w:rPr>
                <w:rFonts w:asciiTheme="minorEastAsia" w:hAnsiTheme="minorEastAsia" w:eastAsiaTheme="minorEastAsia"/>
                <w:color w:val="000000"/>
                <w:kern w:val="0"/>
                <w:sz w:val="21"/>
                <w:szCs w:val="21"/>
              </w:rPr>
              <w:t>0.0</w:t>
            </w:r>
          </w:p>
        </w:tc>
        <w:tc>
          <w:tcPr>
            <w:tcW w:w="2072" w:type="dxa"/>
            <w:shd w:val="clear" w:color="auto" w:fill="auto"/>
            <w:vAlign w:val="center"/>
          </w:tcPr>
          <w:p w14:paraId="56C7629B">
            <w:pPr>
              <w:widowControl/>
              <w:spacing w:line="280" w:lineRule="exact"/>
              <w:jc w:val="left"/>
              <w:rPr>
                <w:rFonts w:asciiTheme="minorEastAsia" w:hAnsiTheme="minorEastAsia" w:eastAsiaTheme="minorEastAsia"/>
                <w:kern w:val="0"/>
                <w:sz w:val="21"/>
                <w:szCs w:val="21"/>
              </w:rPr>
            </w:pPr>
          </w:p>
        </w:tc>
      </w:tr>
      <w:tr w14:paraId="0D76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38" w:type="dxa"/>
            <w:shd w:val="clear" w:color="auto" w:fill="auto"/>
            <w:noWrap/>
            <w:vAlign w:val="center"/>
          </w:tcPr>
          <w:p w14:paraId="64A3CB27">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3</w:t>
            </w:r>
          </w:p>
        </w:tc>
        <w:tc>
          <w:tcPr>
            <w:tcW w:w="1063" w:type="dxa"/>
            <w:shd w:val="clear" w:color="auto" w:fill="auto"/>
            <w:noWrap/>
            <w:vAlign w:val="center"/>
          </w:tcPr>
          <w:p w14:paraId="43242F5E">
            <w:pPr>
              <w:widowControl/>
              <w:spacing w:line="280" w:lineRule="exact"/>
              <w:jc w:val="left"/>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小型设备购置</w:t>
            </w:r>
          </w:p>
        </w:tc>
        <w:tc>
          <w:tcPr>
            <w:tcW w:w="829" w:type="dxa"/>
            <w:shd w:val="clear" w:color="auto" w:fill="auto"/>
            <w:noWrap/>
            <w:vAlign w:val="center"/>
          </w:tcPr>
          <w:p w14:paraId="2952E38C">
            <w:pPr>
              <w:widowControl/>
              <w:spacing w:line="280" w:lineRule="exact"/>
              <w:jc w:val="center"/>
              <w:rPr>
                <w:rFonts w:asciiTheme="minorEastAsia" w:hAnsiTheme="minorEastAsia" w:eastAsiaTheme="minorEastAsia"/>
                <w:b/>
                <w:bCs/>
                <w:kern w:val="0"/>
                <w:sz w:val="21"/>
                <w:szCs w:val="21"/>
              </w:rPr>
            </w:pPr>
          </w:p>
        </w:tc>
        <w:tc>
          <w:tcPr>
            <w:tcW w:w="1354" w:type="dxa"/>
            <w:shd w:val="clear" w:color="000000" w:fill="FFFFFF"/>
            <w:vAlign w:val="center"/>
          </w:tcPr>
          <w:p w14:paraId="5A588C2F">
            <w:pPr>
              <w:widowControl/>
              <w:spacing w:line="280" w:lineRule="exact"/>
              <w:jc w:val="center"/>
              <w:rPr>
                <w:rFonts w:asciiTheme="minorEastAsia" w:hAnsiTheme="minorEastAsia" w:eastAsiaTheme="minorEastAsia"/>
                <w:color w:val="000000"/>
                <w:kern w:val="0"/>
                <w:sz w:val="21"/>
                <w:szCs w:val="21"/>
              </w:rPr>
            </w:pPr>
          </w:p>
        </w:tc>
        <w:tc>
          <w:tcPr>
            <w:tcW w:w="851" w:type="dxa"/>
            <w:shd w:val="clear" w:color="auto" w:fill="auto"/>
            <w:noWrap/>
            <w:vAlign w:val="center"/>
          </w:tcPr>
          <w:p w14:paraId="5E3A90FA">
            <w:pPr>
              <w:widowControl/>
              <w:spacing w:line="280" w:lineRule="exact"/>
              <w:jc w:val="center"/>
              <w:rPr>
                <w:rFonts w:asciiTheme="minorEastAsia" w:hAnsiTheme="minorEastAsia" w:eastAsiaTheme="minorEastAsia"/>
                <w:kern w:val="0"/>
                <w:sz w:val="21"/>
                <w:szCs w:val="21"/>
              </w:rPr>
            </w:pPr>
          </w:p>
        </w:tc>
        <w:tc>
          <w:tcPr>
            <w:tcW w:w="1019" w:type="dxa"/>
            <w:shd w:val="clear" w:color="auto" w:fill="auto"/>
            <w:noWrap/>
            <w:vAlign w:val="center"/>
          </w:tcPr>
          <w:p w14:paraId="1661BDF4">
            <w:pPr>
              <w:widowControl/>
              <w:spacing w:line="280" w:lineRule="exact"/>
              <w:jc w:val="center"/>
              <w:rPr>
                <w:rFonts w:asciiTheme="minorEastAsia" w:hAnsiTheme="minorEastAsia" w:eastAsiaTheme="minorEastAsia"/>
                <w:color w:val="000000"/>
                <w:kern w:val="0"/>
                <w:sz w:val="21"/>
                <w:szCs w:val="21"/>
              </w:rPr>
            </w:pPr>
          </w:p>
        </w:tc>
        <w:tc>
          <w:tcPr>
            <w:tcW w:w="783" w:type="dxa"/>
            <w:shd w:val="clear" w:color="auto" w:fill="auto"/>
            <w:noWrap/>
            <w:vAlign w:val="center"/>
          </w:tcPr>
          <w:p w14:paraId="3ABA55BD">
            <w:pPr>
              <w:widowControl/>
              <w:spacing w:line="280" w:lineRule="exact"/>
              <w:jc w:val="center"/>
              <w:rPr>
                <w:rFonts w:asciiTheme="minorEastAsia" w:hAnsiTheme="minorEastAsia" w:eastAsiaTheme="minorEastAsia"/>
                <w:color w:val="000000"/>
                <w:kern w:val="0"/>
                <w:sz w:val="21"/>
                <w:szCs w:val="21"/>
              </w:rPr>
            </w:pPr>
          </w:p>
        </w:tc>
        <w:tc>
          <w:tcPr>
            <w:tcW w:w="1075" w:type="dxa"/>
            <w:shd w:val="clear" w:color="auto" w:fill="auto"/>
            <w:noWrap/>
            <w:vAlign w:val="center"/>
          </w:tcPr>
          <w:p w14:paraId="6F560A27">
            <w:pPr>
              <w:widowControl/>
              <w:spacing w:line="280" w:lineRule="exact"/>
              <w:jc w:val="center"/>
              <w:rPr>
                <w:rFonts w:asciiTheme="minorEastAsia" w:hAnsiTheme="minorEastAsia" w:eastAsiaTheme="minorEastAsia"/>
                <w:color w:val="000000"/>
                <w:kern w:val="0"/>
                <w:sz w:val="21"/>
                <w:szCs w:val="21"/>
              </w:rPr>
            </w:pPr>
            <w:r>
              <w:rPr>
                <w:rFonts w:asciiTheme="minorEastAsia" w:hAnsiTheme="minorEastAsia" w:eastAsiaTheme="minorEastAsia"/>
                <w:color w:val="000000"/>
                <w:kern w:val="0"/>
                <w:sz w:val="21"/>
                <w:szCs w:val="21"/>
              </w:rPr>
              <w:t>0.0</w:t>
            </w:r>
          </w:p>
        </w:tc>
        <w:tc>
          <w:tcPr>
            <w:tcW w:w="2072" w:type="dxa"/>
            <w:shd w:val="clear" w:color="auto" w:fill="auto"/>
            <w:vAlign w:val="center"/>
          </w:tcPr>
          <w:p w14:paraId="3FEEB43F">
            <w:pPr>
              <w:widowControl/>
              <w:spacing w:line="280" w:lineRule="exact"/>
              <w:jc w:val="left"/>
              <w:rPr>
                <w:rFonts w:asciiTheme="minorEastAsia" w:hAnsiTheme="minorEastAsia" w:eastAsiaTheme="minorEastAsia"/>
                <w:kern w:val="0"/>
                <w:sz w:val="21"/>
                <w:szCs w:val="21"/>
              </w:rPr>
            </w:pPr>
          </w:p>
        </w:tc>
      </w:tr>
      <w:tr w14:paraId="1CB1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38" w:type="dxa"/>
            <w:shd w:val="clear" w:color="auto" w:fill="auto"/>
            <w:noWrap/>
            <w:vAlign w:val="center"/>
          </w:tcPr>
          <w:p w14:paraId="59B8CFCC">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4</w:t>
            </w:r>
          </w:p>
        </w:tc>
        <w:tc>
          <w:tcPr>
            <w:tcW w:w="1063" w:type="dxa"/>
            <w:shd w:val="clear" w:color="auto" w:fill="auto"/>
            <w:noWrap/>
            <w:vAlign w:val="center"/>
          </w:tcPr>
          <w:p w14:paraId="437B6FA7">
            <w:pPr>
              <w:widowControl/>
              <w:spacing w:line="280" w:lineRule="exact"/>
              <w:jc w:val="left"/>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技术培训</w:t>
            </w:r>
          </w:p>
        </w:tc>
        <w:tc>
          <w:tcPr>
            <w:tcW w:w="829" w:type="dxa"/>
            <w:shd w:val="clear" w:color="auto" w:fill="auto"/>
            <w:noWrap/>
            <w:vAlign w:val="center"/>
          </w:tcPr>
          <w:p w14:paraId="57942C0F">
            <w:pPr>
              <w:widowControl/>
              <w:spacing w:line="280" w:lineRule="exact"/>
              <w:jc w:val="center"/>
              <w:rPr>
                <w:rFonts w:asciiTheme="minorEastAsia" w:hAnsiTheme="minorEastAsia" w:eastAsiaTheme="minorEastAsia"/>
                <w:kern w:val="0"/>
                <w:sz w:val="21"/>
                <w:szCs w:val="21"/>
              </w:rPr>
            </w:pPr>
          </w:p>
        </w:tc>
        <w:tc>
          <w:tcPr>
            <w:tcW w:w="1354" w:type="dxa"/>
            <w:shd w:val="clear" w:color="auto" w:fill="auto"/>
            <w:vAlign w:val="center"/>
          </w:tcPr>
          <w:p w14:paraId="7EBF5252">
            <w:pPr>
              <w:widowControl/>
              <w:spacing w:line="280" w:lineRule="exact"/>
              <w:jc w:val="center"/>
              <w:rPr>
                <w:rFonts w:asciiTheme="minorEastAsia" w:hAnsiTheme="minorEastAsia" w:eastAsiaTheme="minorEastAsia"/>
                <w:kern w:val="0"/>
                <w:sz w:val="21"/>
                <w:szCs w:val="21"/>
              </w:rPr>
            </w:pPr>
          </w:p>
        </w:tc>
        <w:tc>
          <w:tcPr>
            <w:tcW w:w="851" w:type="dxa"/>
            <w:shd w:val="clear" w:color="auto" w:fill="auto"/>
            <w:noWrap/>
            <w:vAlign w:val="center"/>
          </w:tcPr>
          <w:p w14:paraId="16E9E45C">
            <w:pPr>
              <w:widowControl/>
              <w:spacing w:line="280" w:lineRule="exact"/>
              <w:jc w:val="center"/>
              <w:rPr>
                <w:rFonts w:asciiTheme="minorEastAsia" w:hAnsiTheme="minorEastAsia" w:eastAsiaTheme="minorEastAsia"/>
                <w:kern w:val="0"/>
                <w:sz w:val="21"/>
                <w:szCs w:val="21"/>
              </w:rPr>
            </w:pPr>
          </w:p>
        </w:tc>
        <w:tc>
          <w:tcPr>
            <w:tcW w:w="1019" w:type="dxa"/>
            <w:shd w:val="clear" w:color="auto" w:fill="auto"/>
            <w:noWrap/>
            <w:vAlign w:val="center"/>
          </w:tcPr>
          <w:p w14:paraId="39215097">
            <w:pPr>
              <w:widowControl/>
              <w:spacing w:line="280" w:lineRule="exact"/>
              <w:jc w:val="center"/>
              <w:rPr>
                <w:rFonts w:asciiTheme="minorEastAsia" w:hAnsiTheme="minorEastAsia" w:eastAsiaTheme="minorEastAsia"/>
                <w:color w:val="000000"/>
                <w:kern w:val="0"/>
                <w:sz w:val="21"/>
                <w:szCs w:val="21"/>
              </w:rPr>
            </w:pPr>
          </w:p>
        </w:tc>
        <w:tc>
          <w:tcPr>
            <w:tcW w:w="783" w:type="dxa"/>
            <w:shd w:val="clear" w:color="auto" w:fill="auto"/>
            <w:noWrap/>
            <w:vAlign w:val="center"/>
          </w:tcPr>
          <w:p w14:paraId="409130F3">
            <w:pPr>
              <w:widowControl/>
              <w:spacing w:line="280" w:lineRule="exact"/>
              <w:jc w:val="center"/>
              <w:rPr>
                <w:rFonts w:asciiTheme="minorEastAsia" w:hAnsiTheme="minorEastAsia" w:eastAsiaTheme="minorEastAsia"/>
                <w:color w:val="000000"/>
                <w:kern w:val="0"/>
                <w:sz w:val="21"/>
                <w:szCs w:val="21"/>
              </w:rPr>
            </w:pPr>
          </w:p>
        </w:tc>
        <w:tc>
          <w:tcPr>
            <w:tcW w:w="1075" w:type="dxa"/>
            <w:shd w:val="clear" w:color="auto" w:fill="auto"/>
            <w:noWrap/>
            <w:vAlign w:val="center"/>
          </w:tcPr>
          <w:p w14:paraId="5CE9D000">
            <w:pPr>
              <w:widowControl/>
              <w:spacing w:line="280" w:lineRule="exact"/>
              <w:jc w:val="center"/>
              <w:rPr>
                <w:rFonts w:hint="default" w:asciiTheme="minorEastAsia" w:hAnsiTheme="minorEastAsia" w:eastAsiaTheme="minorEastAsia"/>
                <w:b/>
                <w:bCs/>
                <w:color w:val="000000"/>
                <w:kern w:val="0"/>
                <w:sz w:val="21"/>
                <w:szCs w:val="21"/>
                <w:lang w:val="en-US" w:eastAsia="zh-CN"/>
              </w:rPr>
            </w:pPr>
            <w:r>
              <w:rPr>
                <w:rFonts w:hint="eastAsia" w:asciiTheme="minorEastAsia" w:hAnsiTheme="minorEastAsia" w:eastAsiaTheme="minorEastAsia"/>
                <w:b/>
                <w:bCs/>
                <w:kern w:val="0"/>
                <w:sz w:val="21"/>
                <w:szCs w:val="21"/>
                <w:lang w:val="en-US" w:eastAsia="zh-CN"/>
              </w:rPr>
              <w:t>43131.0</w:t>
            </w:r>
          </w:p>
        </w:tc>
        <w:tc>
          <w:tcPr>
            <w:tcW w:w="2072" w:type="dxa"/>
            <w:shd w:val="clear" w:color="auto" w:fill="auto"/>
            <w:vAlign w:val="center"/>
          </w:tcPr>
          <w:p w14:paraId="11EBF167">
            <w:pPr>
              <w:widowControl/>
              <w:spacing w:line="280" w:lineRule="exact"/>
              <w:jc w:val="left"/>
              <w:rPr>
                <w:rFonts w:asciiTheme="minorEastAsia" w:hAnsiTheme="minorEastAsia" w:eastAsiaTheme="minorEastAsia"/>
                <w:kern w:val="0"/>
                <w:sz w:val="21"/>
                <w:szCs w:val="21"/>
              </w:rPr>
            </w:pPr>
          </w:p>
        </w:tc>
      </w:tr>
      <w:tr w14:paraId="17D2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8" w:type="dxa"/>
            <w:shd w:val="clear" w:color="auto" w:fill="auto"/>
            <w:noWrap/>
            <w:vAlign w:val="center"/>
          </w:tcPr>
          <w:p w14:paraId="2C669D76">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4.1</w:t>
            </w:r>
          </w:p>
        </w:tc>
        <w:tc>
          <w:tcPr>
            <w:tcW w:w="1063" w:type="dxa"/>
            <w:shd w:val="clear" w:color="auto" w:fill="auto"/>
            <w:noWrap/>
            <w:vAlign w:val="center"/>
          </w:tcPr>
          <w:p w14:paraId="1623814A">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技术培训</w:t>
            </w:r>
          </w:p>
        </w:tc>
        <w:tc>
          <w:tcPr>
            <w:tcW w:w="829" w:type="dxa"/>
            <w:shd w:val="clear" w:color="auto" w:fill="auto"/>
            <w:noWrap/>
            <w:vAlign w:val="center"/>
          </w:tcPr>
          <w:p w14:paraId="4E4B92E2">
            <w:pPr>
              <w:widowControl/>
              <w:spacing w:line="280" w:lineRule="exact"/>
              <w:jc w:val="left"/>
              <w:rPr>
                <w:rFonts w:asciiTheme="minorEastAsia" w:hAnsiTheme="minorEastAsia" w:eastAsiaTheme="minorEastAsia"/>
                <w:kern w:val="0"/>
                <w:sz w:val="21"/>
                <w:szCs w:val="21"/>
              </w:rPr>
            </w:pPr>
          </w:p>
        </w:tc>
        <w:tc>
          <w:tcPr>
            <w:tcW w:w="1354" w:type="dxa"/>
            <w:shd w:val="clear" w:color="auto" w:fill="auto"/>
            <w:vAlign w:val="center"/>
          </w:tcPr>
          <w:p w14:paraId="5AF6C3CF">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培训</w:t>
            </w:r>
            <w:r>
              <w:rPr>
                <w:rFonts w:hint="eastAsia" w:asciiTheme="minorEastAsia" w:hAnsiTheme="minorEastAsia" w:eastAsiaTheme="minorEastAsia"/>
                <w:kern w:val="0"/>
                <w:sz w:val="21"/>
                <w:szCs w:val="21"/>
              </w:rPr>
              <w:t>2</w:t>
            </w:r>
            <w:r>
              <w:rPr>
                <w:rFonts w:asciiTheme="minorEastAsia" w:hAnsiTheme="minorEastAsia" w:eastAsiaTheme="minorEastAsia"/>
                <w:kern w:val="0"/>
                <w:sz w:val="21"/>
                <w:szCs w:val="21"/>
              </w:rPr>
              <w:t>次，共计培训</w:t>
            </w:r>
            <w:r>
              <w:rPr>
                <w:rFonts w:hint="eastAsia" w:asciiTheme="minorEastAsia" w:hAnsiTheme="minorEastAsia" w:eastAsiaTheme="minorEastAsia"/>
                <w:kern w:val="0"/>
                <w:sz w:val="21"/>
                <w:szCs w:val="21"/>
              </w:rPr>
              <w:t>1</w:t>
            </w:r>
            <w:r>
              <w:rPr>
                <w:rFonts w:asciiTheme="minorEastAsia" w:hAnsiTheme="minorEastAsia" w:eastAsiaTheme="minorEastAsia"/>
                <w:kern w:val="0"/>
                <w:sz w:val="21"/>
                <w:szCs w:val="21"/>
              </w:rPr>
              <w:t>00人次</w:t>
            </w:r>
          </w:p>
        </w:tc>
        <w:tc>
          <w:tcPr>
            <w:tcW w:w="851" w:type="dxa"/>
            <w:shd w:val="clear" w:color="auto" w:fill="auto"/>
            <w:noWrap/>
            <w:vAlign w:val="center"/>
          </w:tcPr>
          <w:p w14:paraId="288661FA">
            <w:pPr>
              <w:widowControl/>
              <w:spacing w:line="280" w:lineRule="exact"/>
              <w:jc w:val="left"/>
              <w:rPr>
                <w:rFonts w:asciiTheme="minorEastAsia" w:hAnsiTheme="minorEastAsia" w:eastAsiaTheme="minorEastAsia"/>
                <w:kern w:val="0"/>
                <w:sz w:val="21"/>
                <w:szCs w:val="21"/>
              </w:rPr>
            </w:pPr>
            <w:r>
              <w:rPr>
                <w:rFonts w:asciiTheme="minorEastAsia" w:hAnsiTheme="minorEastAsia" w:eastAsiaTheme="minorEastAsia"/>
                <w:kern w:val="0"/>
                <w:sz w:val="21"/>
                <w:szCs w:val="21"/>
              </w:rPr>
              <w:t>元.人次</w:t>
            </w:r>
          </w:p>
        </w:tc>
        <w:tc>
          <w:tcPr>
            <w:tcW w:w="1019" w:type="dxa"/>
            <w:shd w:val="clear" w:color="auto" w:fill="auto"/>
            <w:noWrap/>
            <w:vAlign w:val="center"/>
          </w:tcPr>
          <w:p w14:paraId="53173284">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2</w:t>
            </w:r>
            <w:r>
              <w:rPr>
                <w:rFonts w:asciiTheme="minorEastAsia" w:hAnsiTheme="minorEastAsia" w:eastAsiaTheme="minorEastAsia"/>
                <w:kern w:val="0"/>
                <w:sz w:val="21"/>
                <w:szCs w:val="21"/>
              </w:rPr>
              <w:t>30</w:t>
            </w:r>
          </w:p>
        </w:tc>
        <w:tc>
          <w:tcPr>
            <w:tcW w:w="783" w:type="dxa"/>
            <w:shd w:val="clear" w:color="auto" w:fill="auto"/>
            <w:noWrap/>
            <w:vAlign w:val="center"/>
          </w:tcPr>
          <w:p w14:paraId="4D5784CC">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1</w:t>
            </w:r>
            <w:r>
              <w:rPr>
                <w:rFonts w:asciiTheme="minorEastAsia" w:hAnsiTheme="minorEastAsia" w:eastAsiaTheme="minorEastAsia"/>
                <w:kern w:val="0"/>
                <w:sz w:val="21"/>
                <w:szCs w:val="21"/>
              </w:rPr>
              <w:t>00</w:t>
            </w:r>
          </w:p>
        </w:tc>
        <w:tc>
          <w:tcPr>
            <w:tcW w:w="1075" w:type="dxa"/>
            <w:shd w:val="clear" w:color="auto" w:fill="auto"/>
            <w:noWrap/>
            <w:vAlign w:val="center"/>
          </w:tcPr>
          <w:p w14:paraId="7225B442">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23000.0</w:t>
            </w:r>
          </w:p>
        </w:tc>
        <w:tc>
          <w:tcPr>
            <w:tcW w:w="2072" w:type="dxa"/>
            <w:shd w:val="clear" w:color="auto" w:fill="auto"/>
            <w:vAlign w:val="center"/>
          </w:tcPr>
          <w:p w14:paraId="21225E06">
            <w:pPr>
              <w:widowControl/>
              <w:spacing w:line="280" w:lineRule="exact"/>
              <w:jc w:val="left"/>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中共阿坝州委办公室 阿坝州人民政府办公室</w:t>
            </w:r>
            <w:r>
              <w:rPr>
                <w:rFonts w:asciiTheme="minorEastAsia" w:hAnsiTheme="minorEastAsia" w:eastAsiaTheme="minorEastAsia"/>
                <w:kern w:val="0"/>
                <w:sz w:val="21"/>
                <w:szCs w:val="21"/>
              </w:rPr>
              <w:t>关于印发《阿坝州州直机关会议费管理办法》</w:t>
            </w:r>
            <w:r>
              <w:rPr>
                <w:rFonts w:hint="eastAsia" w:asciiTheme="minorEastAsia" w:hAnsiTheme="minorEastAsia" w:eastAsiaTheme="minorEastAsia"/>
                <w:kern w:val="0"/>
                <w:sz w:val="21"/>
                <w:szCs w:val="21"/>
              </w:rPr>
              <w:t>以及阿州财[2020]89号执行</w:t>
            </w:r>
          </w:p>
        </w:tc>
      </w:tr>
      <w:tr w14:paraId="4973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638" w:type="dxa"/>
            <w:shd w:val="clear" w:color="auto" w:fill="auto"/>
            <w:noWrap/>
            <w:vAlign w:val="center"/>
          </w:tcPr>
          <w:p w14:paraId="5686987A">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4.2</w:t>
            </w:r>
          </w:p>
        </w:tc>
        <w:tc>
          <w:tcPr>
            <w:tcW w:w="1063" w:type="dxa"/>
            <w:shd w:val="clear" w:color="auto" w:fill="auto"/>
            <w:noWrap/>
            <w:vAlign w:val="center"/>
          </w:tcPr>
          <w:p w14:paraId="715B89FC">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技术咨询</w:t>
            </w:r>
          </w:p>
        </w:tc>
        <w:tc>
          <w:tcPr>
            <w:tcW w:w="829" w:type="dxa"/>
            <w:shd w:val="clear" w:color="auto" w:fill="auto"/>
            <w:noWrap/>
            <w:vAlign w:val="center"/>
          </w:tcPr>
          <w:p w14:paraId="6EC16100">
            <w:pPr>
              <w:widowControl/>
              <w:spacing w:line="280" w:lineRule="exact"/>
              <w:jc w:val="center"/>
              <w:rPr>
                <w:rFonts w:asciiTheme="minorEastAsia" w:hAnsiTheme="minorEastAsia" w:eastAsiaTheme="minorEastAsia"/>
                <w:kern w:val="0"/>
                <w:sz w:val="21"/>
                <w:szCs w:val="21"/>
              </w:rPr>
            </w:pPr>
          </w:p>
        </w:tc>
        <w:tc>
          <w:tcPr>
            <w:tcW w:w="1354" w:type="dxa"/>
            <w:shd w:val="clear" w:color="auto" w:fill="auto"/>
            <w:vAlign w:val="center"/>
          </w:tcPr>
          <w:p w14:paraId="1E6FBB01">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高级职称以上</w:t>
            </w:r>
          </w:p>
        </w:tc>
        <w:tc>
          <w:tcPr>
            <w:tcW w:w="851" w:type="dxa"/>
            <w:shd w:val="clear" w:color="auto" w:fill="auto"/>
            <w:noWrap/>
            <w:vAlign w:val="center"/>
          </w:tcPr>
          <w:p w14:paraId="36797D43">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天.人次</w:t>
            </w:r>
          </w:p>
        </w:tc>
        <w:tc>
          <w:tcPr>
            <w:tcW w:w="1019" w:type="dxa"/>
            <w:shd w:val="clear" w:color="auto" w:fill="auto"/>
            <w:noWrap/>
            <w:vAlign w:val="center"/>
          </w:tcPr>
          <w:p w14:paraId="59F5F43C">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800</w:t>
            </w:r>
          </w:p>
        </w:tc>
        <w:tc>
          <w:tcPr>
            <w:tcW w:w="783" w:type="dxa"/>
            <w:shd w:val="clear" w:color="auto" w:fill="auto"/>
            <w:noWrap/>
            <w:vAlign w:val="center"/>
          </w:tcPr>
          <w:p w14:paraId="7091A61E">
            <w:pPr>
              <w:widowControl/>
              <w:spacing w:line="280" w:lineRule="exact"/>
              <w:jc w:val="center"/>
              <w:rPr>
                <w:rFonts w:hint="default" w:asciiTheme="minorEastAsia" w:hAnsiTheme="minorEastAsia" w:eastAsiaTheme="minorEastAsia"/>
                <w:kern w:val="0"/>
                <w:sz w:val="21"/>
                <w:szCs w:val="21"/>
                <w:lang w:val="en-US" w:eastAsia="zh-CN"/>
              </w:rPr>
            </w:pPr>
            <w:r>
              <w:rPr>
                <w:rFonts w:hint="eastAsia" w:asciiTheme="minorEastAsia" w:hAnsiTheme="minorEastAsia" w:eastAsiaTheme="minorEastAsia"/>
                <w:kern w:val="0"/>
                <w:sz w:val="21"/>
                <w:szCs w:val="21"/>
                <w:lang w:val="en-US" w:eastAsia="zh-CN"/>
              </w:rPr>
              <w:t>13</w:t>
            </w:r>
          </w:p>
        </w:tc>
        <w:tc>
          <w:tcPr>
            <w:tcW w:w="1075" w:type="dxa"/>
            <w:shd w:val="clear" w:color="auto" w:fill="auto"/>
            <w:noWrap/>
            <w:vAlign w:val="center"/>
          </w:tcPr>
          <w:p w14:paraId="659B4470">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lang w:val="en-US" w:eastAsia="zh-CN"/>
              </w:rPr>
              <w:t>10400</w:t>
            </w:r>
            <w:r>
              <w:rPr>
                <w:rFonts w:asciiTheme="minorEastAsia" w:hAnsiTheme="minorEastAsia" w:eastAsiaTheme="minorEastAsia"/>
                <w:kern w:val="0"/>
                <w:sz w:val="21"/>
                <w:szCs w:val="21"/>
              </w:rPr>
              <w:t>.0</w:t>
            </w:r>
          </w:p>
        </w:tc>
        <w:tc>
          <w:tcPr>
            <w:tcW w:w="2072" w:type="dxa"/>
            <w:shd w:val="clear" w:color="auto" w:fill="auto"/>
            <w:vAlign w:val="center"/>
          </w:tcPr>
          <w:p w14:paraId="35CDB2B5">
            <w:pPr>
              <w:widowControl/>
              <w:spacing w:line="280" w:lineRule="exact"/>
              <w:jc w:val="left"/>
              <w:rPr>
                <w:rFonts w:hint="default" w:asciiTheme="minorEastAsia" w:hAnsiTheme="minorEastAsia" w:eastAsiaTheme="minorEastAsia"/>
                <w:kern w:val="0"/>
                <w:sz w:val="21"/>
                <w:szCs w:val="21"/>
                <w:lang w:val="en-US" w:eastAsia="zh-CN"/>
              </w:rPr>
            </w:pPr>
            <w:r>
              <w:rPr>
                <w:rFonts w:asciiTheme="minorEastAsia" w:hAnsiTheme="minorEastAsia" w:eastAsiaTheme="minorEastAsia"/>
                <w:kern w:val="0"/>
                <w:sz w:val="21"/>
                <w:szCs w:val="21"/>
              </w:rPr>
              <w:t>咨询行业内高级职称以上专家</w:t>
            </w:r>
            <w:r>
              <w:rPr>
                <w:rFonts w:hint="eastAsia" w:asciiTheme="minorEastAsia" w:hAnsiTheme="minorEastAsia" w:eastAsiaTheme="minorEastAsia"/>
                <w:kern w:val="0"/>
                <w:sz w:val="21"/>
                <w:szCs w:val="21"/>
              </w:rPr>
              <w:t>8</w:t>
            </w:r>
            <w:r>
              <w:rPr>
                <w:rFonts w:asciiTheme="minorEastAsia" w:hAnsiTheme="minorEastAsia" w:eastAsiaTheme="minorEastAsia"/>
                <w:kern w:val="0"/>
                <w:sz w:val="21"/>
                <w:szCs w:val="21"/>
              </w:rPr>
              <w:t>人次</w:t>
            </w:r>
            <w:r>
              <w:rPr>
                <w:rFonts w:hint="eastAsia" w:asciiTheme="minorEastAsia" w:hAnsiTheme="minorEastAsia" w:eastAsiaTheme="minorEastAsia"/>
                <w:kern w:val="0"/>
                <w:sz w:val="21"/>
                <w:szCs w:val="21"/>
                <w:lang w:eastAsia="zh-CN"/>
              </w:rPr>
              <w:t>，评审</w:t>
            </w:r>
            <w:r>
              <w:rPr>
                <w:rFonts w:hint="eastAsia" w:asciiTheme="minorEastAsia" w:hAnsiTheme="minorEastAsia" w:eastAsiaTheme="minorEastAsia"/>
                <w:kern w:val="0"/>
                <w:sz w:val="21"/>
                <w:szCs w:val="21"/>
                <w:lang w:val="en-US" w:eastAsia="zh-CN"/>
              </w:rPr>
              <w:t>5人次。</w:t>
            </w:r>
          </w:p>
        </w:tc>
      </w:tr>
      <w:tr w14:paraId="1C17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638" w:type="dxa"/>
            <w:shd w:val="clear" w:color="auto" w:fill="auto"/>
            <w:noWrap/>
            <w:vAlign w:val="center"/>
          </w:tcPr>
          <w:p w14:paraId="2CFF1C50">
            <w:pPr>
              <w:widowControl/>
              <w:spacing w:line="280" w:lineRule="exact"/>
              <w:jc w:val="center"/>
              <w:rPr>
                <w:rFonts w:asciiTheme="minorEastAsia" w:hAnsiTheme="minorEastAsia" w:eastAsiaTheme="minorEastAsia"/>
                <w:kern w:val="0"/>
                <w:sz w:val="21"/>
                <w:szCs w:val="21"/>
              </w:rPr>
            </w:pPr>
            <w:r>
              <w:rPr>
                <w:rFonts w:asciiTheme="minorEastAsia" w:hAnsiTheme="minorEastAsia" w:eastAsiaTheme="minorEastAsia"/>
                <w:kern w:val="0"/>
                <w:sz w:val="21"/>
                <w:szCs w:val="21"/>
              </w:rPr>
              <w:t>4.3</w:t>
            </w:r>
          </w:p>
        </w:tc>
        <w:tc>
          <w:tcPr>
            <w:tcW w:w="1063" w:type="dxa"/>
            <w:shd w:val="clear" w:color="auto" w:fill="auto"/>
            <w:noWrap/>
            <w:vAlign w:val="center"/>
          </w:tcPr>
          <w:p w14:paraId="68748BB1">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资料打印</w:t>
            </w:r>
          </w:p>
        </w:tc>
        <w:tc>
          <w:tcPr>
            <w:tcW w:w="829" w:type="dxa"/>
            <w:shd w:val="clear" w:color="auto" w:fill="auto"/>
            <w:noWrap/>
            <w:vAlign w:val="center"/>
          </w:tcPr>
          <w:p w14:paraId="28A2AE1B">
            <w:pPr>
              <w:widowControl/>
              <w:spacing w:line="280" w:lineRule="exact"/>
              <w:jc w:val="center"/>
              <w:rPr>
                <w:rFonts w:asciiTheme="minorEastAsia" w:hAnsiTheme="minorEastAsia" w:eastAsiaTheme="minorEastAsia"/>
                <w:kern w:val="0"/>
                <w:sz w:val="21"/>
                <w:szCs w:val="21"/>
              </w:rPr>
            </w:pPr>
          </w:p>
        </w:tc>
        <w:tc>
          <w:tcPr>
            <w:tcW w:w="1354" w:type="dxa"/>
            <w:shd w:val="clear" w:color="auto" w:fill="auto"/>
            <w:vAlign w:val="center"/>
          </w:tcPr>
          <w:p w14:paraId="4CB270E4">
            <w:pPr>
              <w:widowControl/>
              <w:spacing w:line="280" w:lineRule="exact"/>
              <w:jc w:val="center"/>
              <w:rPr>
                <w:rFonts w:asciiTheme="minorEastAsia" w:hAnsiTheme="minorEastAsia" w:eastAsiaTheme="minorEastAsia"/>
                <w:kern w:val="0"/>
                <w:sz w:val="21"/>
                <w:szCs w:val="21"/>
              </w:rPr>
            </w:pPr>
          </w:p>
        </w:tc>
        <w:tc>
          <w:tcPr>
            <w:tcW w:w="851" w:type="dxa"/>
            <w:shd w:val="clear" w:color="auto" w:fill="auto"/>
            <w:noWrap/>
            <w:vAlign w:val="center"/>
          </w:tcPr>
          <w:p w14:paraId="28FCA71C">
            <w:pPr>
              <w:widowControl/>
              <w:spacing w:line="280" w:lineRule="exact"/>
              <w:jc w:val="center"/>
              <w:rPr>
                <w:rFonts w:asciiTheme="minorEastAsia" w:hAnsiTheme="minorEastAsia" w:eastAsiaTheme="minorEastAsia"/>
                <w:kern w:val="0"/>
                <w:sz w:val="21"/>
                <w:szCs w:val="21"/>
              </w:rPr>
            </w:pPr>
          </w:p>
        </w:tc>
        <w:tc>
          <w:tcPr>
            <w:tcW w:w="1019" w:type="dxa"/>
            <w:shd w:val="clear" w:color="auto" w:fill="auto"/>
            <w:noWrap/>
            <w:vAlign w:val="center"/>
          </w:tcPr>
          <w:p w14:paraId="112C56D7">
            <w:pPr>
              <w:widowControl/>
              <w:spacing w:line="280" w:lineRule="exact"/>
              <w:jc w:val="center"/>
              <w:rPr>
                <w:rFonts w:asciiTheme="minorEastAsia" w:hAnsiTheme="minorEastAsia" w:eastAsiaTheme="minorEastAsia"/>
                <w:kern w:val="0"/>
                <w:sz w:val="21"/>
                <w:szCs w:val="21"/>
              </w:rPr>
            </w:pPr>
          </w:p>
        </w:tc>
        <w:tc>
          <w:tcPr>
            <w:tcW w:w="783" w:type="dxa"/>
            <w:shd w:val="clear" w:color="auto" w:fill="auto"/>
            <w:noWrap/>
            <w:vAlign w:val="center"/>
          </w:tcPr>
          <w:p w14:paraId="076AE730">
            <w:pPr>
              <w:widowControl/>
              <w:spacing w:line="280" w:lineRule="exact"/>
              <w:jc w:val="center"/>
              <w:rPr>
                <w:rFonts w:asciiTheme="minorEastAsia" w:hAnsiTheme="minorEastAsia" w:eastAsiaTheme="minorEastAsia"/>
                <w:kern w:val="0"/>
                <w:sz w:val="21"/>
                <w:szCs w:val="21"/>
              </w:rPr>
            </w:pPr>
          </w:p>
        </w:tc>
        <w:tc>
          <w:tcPr>
            <w:tcW w:w="1075" w:type="dxa"/>
            <w:shd w:val="clear" w:color="auto" w:fill="auto"/>
            <w:noWrap/>
            <w:vAlign w:val="center"/>
          </w:tcPr>
          <w:p w14:paraId="415DEC88">
            <w:pPr>
              <w:widowControl/>
              <w:spacing w:line="280" w:lineRule="exact"/>
              <w:jc w:val="center"/>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lang w:val="en-US" w:eastAsia="zh-CN"/>
              </w:rPr>
              <w:t>9731</w:t>
            </w:r>
            <w:r>
              <w:rPr>
                <w:rFonts w:asciiTheme="minorEastAsia" w:hAnsiTheme="minorEastAsia" w:eastAsiaTheme="minorEastAsia"/>
                <w:kern w:val="0"/>
                <w:sz w:val="21"/>
                <w:szCs w:val="21"/>
              </w:rPr>
              <w:t>.0</w:t>
            </w:r>
          </w:p>
        </w:tc>
        <w:tc>
          <w:tcPr>
            <w:tcW w:w="2072" w:type="dxa"/>
            <w:shd w:val="clear" w:color="auto" w:fill="auto"/>
            <w:vAlign w:val="center"/>
          </w:tcPr>
          <w:p w14:paraId="358A2205">
            <w:pPr>
              <w:widowControl/>
              <w:spacing w:line="280" w:lineRule="exact"/>
              <w:jc w:val="center"/>
              <w:rPr>
                <w:rFonts w:hint="default" w:asciiTheme="minorEastAsia" w:hAnsiTheme="minorEastAsia" w:eastAsiaTheme="minorEastAsia"/>
                <w:kern w:val="0"/>
                <w:sz w:val="21"/>
                <w:szCs w:val="21"/>
                <w:lang w:val="en-US" w:eastAsia="zh-CN"/>
              </w:rPr>
            </w:pPr>
            <w:r>
              <w:rPr>
                <w:rFonts w:hint="eastAsia" w:asciiTheme="minorEastAsia" w:hAnsiTheme="minorEastAsia" w:eastAsiaTheme="minorEastAsia"/>
                <w:kern w:val="0"/>
                <w:sz w:val="21"/>
                <w:szCs w:val="21"/>
                <w:lang w:eastAsia="zh-CN"/>
              </w:rPr>
              <w:t>技术手册</w:t>
            </w:r>
            <w:r>
              <w:rPr>
                <w:rFonts w:hint="eastAsia" w:asciiTheme="minorEastAsia" w:hAnsiTheme="minorEastAsia" w:eastAsiaTheme="minorEastAsia"/>
                <w:kern w:val="0"/>
                <w:sz w:val="21"/>
                <w:szCs w:val="21"/>
                <w:lang w:val="en-US" w:eastAsia="zh-CN"/>
              </w:rPr>
              <w:t>100份，单价20元，计2000元，</w:t>
            </w:r>
            <w:r>
              <w:rPr>
                <w:rFonts w:hint="eastAsia" w:asciiTheme="minorEastAsia" w:hAnsiTheme="minorEastAsia" w:eastAsiaTheme="minorEastAsia"/>
                <w:kern w:val="0"/>
                <w:sz w:val="21"/>
                <w:szCs w:val="21"/>
              </w:rPr>
              <w:t>项目</w:t>
            </w:r>
            <w:r>
              <w:rPr>
                <w:rFonts w:hint="eastAsia" w:asciiTheme="minorEastAsia" w:hAnsiTheme="minorEastAsia" w:eastAsiaTheme="minorEastAsia"/>
                <w:kern w:val="0"/>
                <w:sz w:val="21"/>
                <w:szCs w:val="21"/>
                <w:lang w:eastAsia="zh-CN"/>
              </w:rPr>
              <w:t>其他</w:t>
            </w:r>
            <w:r>
              <w:rPr>
                <w:rFonts w:hint="eastAsia" w:asciiTheme="minorEastAsia" w:hAnsiTheme="minorEastAsia" w:eastAsiaTheme="minorEastAsia"/>
                <w:kern w:val="0"/>
                <w:sz w:val="21"/>
                <w:szCs w:val="21"/>
              </w:rPr>
              <w:t>材料打印、装订</w:t>
            </w:r>
            <w:r>
              <w:rPr>
                <w:rFonts w:hint="eastAsia" w:asciiTheme="minorEastAsia" w:hAnsiTheme="minorEastAsia" w:eastAsiaTheme="minorEastAsia"/>
                <w:kern w:val="0"/>
                <w:sz w:val="21"/>
                <w:szCs w:val="21"/>
                <w:lang w:eastAsia="zh-CN"/>
              </w:rPr>
              <w:t>预计支出</w:t>
            </w:r>
            <w:r>
              <w:rPr>
                <w:rFonts w:hint="eastAsia" w:asciiTheme="minorEastAsia" w:hAnsiTheme="minorEastAsia" w:eastAsiaTheme="minorEastAsia"/>
                <w:kern w:val="0"/>
                <w:sz w:val="21"/>
                <w:szCs w:val="21"/>
                <w:lang w:val="en-US" w:eastAsia="zh-CN"/>
              </w:rPr>
              <w:t>704元</w:t>
            </w:r>
          </w:p>
        </w:tc>
      </w:tr>
      <w:tr w14:paraId="0D53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638" w:type="dxa"/>
            <w:shd w:val="clear" w:color="auto" w:fill="auto"/>
            <w:noWrap/>
            <w:vAlign w:val="center"/>
          </w:tcPr>
          <w:p w14:paraId="0338DD64">
            <w:pPr>
              <w:widowControl/>
              <w:spacing w:line="280" w:lineRule="exact"/>
              <w:jc w:val="center"/>
              <w:rPr>
                <w:rFonts w:asciiTheme="minorEastAsia" w:hAnsiTheme="minorEastAsia" w:eastAsiaTheme="minorEastAsia"/>
                <w:b/>
                <w:bCs/>
                <w:kern w:val="0"/>
                <w:sz w:val="21"/>
                <w:szCs w:val="21"/>
              </w:rPr>
            </w:pPr>
            <w:r>
              <w:rPr>
                <w:rFonts w:asciiTheme="minorEastAsia" w:hAnsiTheme="minorEastAsia" w:eastAsiaTheme="minorEastAsia"/>
                <w:b/>
                <w:bCs/>
                <w:kern w:val="0"/>
                <w:sz w:val="21"/>
                <w:szCs w:val="21"/>
              </w:rPr>
              <w:t>合计</w:t>
            </w:r>
          </w:p>
        </w:tc>
        <w:tc>
          <w:tcPr>
            <w:tcW w:w="1063" w:type="dxa"/>
            <w:shd w:val="clear" w:color="auto" w:fill="auto"/>
            <w:noWrap/>
            <w:vAlign w:val="center"/>
          </w:tcPr>
          <w:p w14:paraId="57072096">
            <w:pPr>
              <w:widowControl/>
              <w:spacing w:line="280" w:lineRule="exact"/>
              <w:jc w:val="center"/>
              <w:rPr>
                <w:rFonts w:asciiTheme="minorEastAsia" w:hAnsiTheme="minorEastAsia" w:eastAsiaTheme="minorEastAsia"/>
                <w:kern w:val="0"/>
                <w:sz w:val="21"/>
                <w:szCs w:val="21"/>
              </w:rPr>
            </w:pPr>
          </w:p>
        </w:tc>
        <w:tc>
          <w:tcPr>
            <w:tcW w:w="829" w:type="dxa"/>
            <w:shd w:val="clear" w:color="auto" w:fill="auto"/>
            <w:noWrap/>
            <w:vAlign w:val="center"/>
          </w:tcPr>
          <w:p w14:paraId="14586027">
            <w:pPr>
              <w:widowControl/>
              <w:spacing w:line="280" w:lineRule="exact"/>
              <w:jc w:val="center"/>
              <w:rPr>
                <w:rFonts w:asciiTheme="minorEastAsia" w:hAnsiTheme="minorEastAsia" w:eastAsiaTheme="minorEastAsia"/>
                <w:kern w:val="0"/>
                <w:sz w:val="21"/>
                <w:szCs w:val="21"/>
              </w:rPr>
            </w:pPr>
          </w:p>
        </w:tc>
        <w:tc>
          <w:tcPr>
            <w:tcW w:w="1354" w:type="dxa"/>
            <w:shd w:val="clear" w:color="auto" w:fill="auto"/>
            <w:noWrap/>
            <w:vAlign w:val="center"/>
          </w:tcPr>
          <w:p w14:paraId="254FC68C">
            <w:pPr>
              <w:widowControl/>
              <w:spacing w:line="280" w:lineRule="exact"/>
              <w:jc w:val="center"/>
              <w:rPr>
                <w:rFonts w:asciiTheme="minorEastAsia" w:hAnsiTheme="minorEastAsia" w:eastAsiaTheme="minorEastAsia"/>
                <w:kern w:val="0"/>
                <w:sz w:val="21"/>
                <w:szCs w:val="21"/>
              </w:rPr>
            </w:pPr>
          </w:p>
        </w:tc>
        <w:tc>
          <w:tcPr>
            <w:tcW w:w="851" w:type="dxa"/>
            <w:shd w:val="clear" w:color="auto" w:fill="auto"/>
            <w:noWrap/>
            <w:vAlign w:val="center"/>
          </w:tcPr>
          <w:p w14:paraId="400A72A8">
            <w:pPr>
              <w:widowControl/>
              <w:spacing w:line="280" w:lineRule="exact"/>
              <w:jc w:val="center"/>
              <w:rPr>
                <w:rFonts w:asciiTheme="minorEastAsia" w:hAnsiTheme="minorEastAsia" w:eastAsiaTheme="minorEastAsia"/>
                <w:kern w:val="0"/>
                <w:sz w:val="21"/>
                <w:szCs w:val="21"/>
              </w:rPr>
            </w:pPr>
          </w:p>
        </w:tc>
        <w:tc>
          <w:tcPr>
            <w:tcW w:w="1019" w:type="dxa"/>
            <w:shd w:val="clear" w:color="auto" w:fill="auto"/>
            <w:noWrap/>
            <w:vAlign w:val="center"/>
          </w:tcPr>
          <w:p w14:paraId="6BE4D758">
            <w:pPr>
              <w:widowControl/>
              <w:spacing w:line="280" w:lineRule="exact"/>
              <w:jc w:val="center"/>
              <w:rPr>
                <w:rFonts w:asciiTheme="minorEastAsia" w:hAnsiTheme="minorEastAsia" w:eastAsiaTheme="minorEastAsia"/>
                <w:kern w:val="0"/>
                <w:sz w:val="21"/>
                <w:szCs w:val="21"/>
              </w:rPr>
            </w:pPr>
          </w:p>
        </w:tc>
        <w:tc>
          <w:tcPr>
            <w:tcW w:w="783" w:type="dxa"/>
            <w:shd w:val="clear" w:color="auto" w:fill="auto"/>
            <w:noWrap/>
            <w:vAlign w:val="center"/>
          </w:tcPr>
          <w:p w14:paraId="66E2916C">
            <w:pPr>
              <w:widowControl/>
              <w:spacing w:line="280" w:lineRule="exact"/>
              <w:jc w:val="center"/>
              <w:rPr>
                <w:rFonts w:asciiTheme="minorEastAsia" w:hAnsiTheme="minorEastAsia" w:eastAsiaTheme="minorEastAsia"/>
                <w:kern w:val="0"/>
                <w:sz w:val="21"/>
                <w:szCs w:val="21"/>
              </w:rPr>
            </w:pPr>
          </w:p>
        </w:tc>
        <w:tc>
          <w:tcPr>
            <w:tcW w:w="1075" w:type="dxa"/>
            <w:shd w:val="clear" w:color="auto" w:fill="auto"/>
            <w:noWrap/>
            <w:vAlign w:val="center"/>
          </w:tcPr>
          <w:p w14:paraId="776B1B62">
            <w:pPr>
              <w:widowControl/>
              <w:spacing w:line="280" w:lineRule="exact"/>
              <w:jc w:val="center"/>
              <w:rPr>
                <w:rFonts w:asciiTheme="minorEastAsia" w:hAnsiTheme="minorEastAsia" w:eastAsiaTheme="minorEastAsia"/>
                <w:color w:val="000000"/>
                <w:kern w:val="0"/>
                <w:sz w:val="21"/>
                <w:szCs w:val="21"/>
              </w:rPr>
            </w:pPr>
            <w:r>
              <w:rPr>
                <w:rFonts w:hint="eastAsia" w:asciiTheme="minorEastAsia" w:hAnsiTheme="minorEastAsia" w:eastAsiaTheme="minorEastAsia"/>
                <w:b/>
                <w:bCs/>
                <w:kern w:val="0"/>
                <w:sz w:val="21"/>
                <w:szCs w:val="21"/>
                <w:lang w:val="en-US" w:eastAsia="zh-CN"/>
              </w:rPr>
              <w:t>566400</w:t>
            </w:r>
            <w:r>
              <w:rPr>
                <w:rFonts w:hint="eastAsia" w:asciiTheme="minorEastAsia" w:hAnsiTheme="minorEastAsia" w:eastAsiaTheme="minorEastAsia"/>
                <w:b/>
                <w:bCs/>
                <w:kern w:val="0"/>
                <w:sz w:val="21"/>
                <w:szCs w:val="21"/>
              </w:rPr>
              <w:t>.0</w:t>
            </w:r>
          </w:p>
        </w:tc>
        <w:tc>
          <w:tcPr>
            <w:tcW w:w="2072" w:type="dxa"/>
            <w:shd w:val="clear" w:color="auto" w:fill="auto"/>
            <w:vAlign w:val="center"/>
          </w:tcPr>
          <w:p w14:paraId="25FAC690">
            <w:pPr>
              <w:widowControl/>
              <w:spacing w:line="280" w:lineRule="exact"/>
              <w:jc w:val="center"/>
              <w:rPr>
                <w:rFonts w:asciiTheme="minorEastAsia" w:hAnsiTheme="minorEastAsia" w:eastAsiaTheme="minorEastAsia"/>
                <w:b/>
                <w:bCs/>
                <w:kern w:val="0"/>
                <w:sz w:val="21"/>
                <w:szCs w:val="21"/>
              </w:rPr>
            </w:pPr>
          </w:p>
        </w:tc>
      </w:tr>
    </w:tbl>
    <w:p w14:paraId="73F3AA5A">
      <w:pPr>
        <w:widowControl/>
        <w:spacing w:line="360" w:lineRule="auto"/>
        <w:ind w:firstLine="643" w:firstLineChars="200"/>
        <w:rPr>
          <w:rFonts w:hint="eastAsia" w:eastAsia="仿宋" w:cs="Times New Roman"/>
          <w:smallCaps/>
          <w:color w:val="auto"/>
          <w:kern w:val="0"/>
          <w:sz w:val="32"/>
          <w:szCs w:val="32"/>
          <w:lang w:val="en-US" w:eastAsia="zh-CN"/>
        </w:rPr>
      </w:pPr>
      <w:r>
        <w:rPr>
          <w:rFonts w:hint="default" w:ascii="Times New Roman" w:hAnsi="Times New Roman" w:eastAsia="楷体_GB2312" w:cs="Times New Roman"/>
          <w:b/>
          <w:color w:val="auto"/>
          <w:sz w:val="32"/>
          <w:szCs w:val="32"/>
          <w:highlight w:val="none"/>
          <w:u w:val="none"/>
          <w:lang w:val="zh-CN" w:eastAsia="zh-CN"/>
        </w:rPr>
        <w:t>（四）项目绩效目标设置。</w:t>
      </w:r>
      <w:r>
        <w:rPr>
          <w:rFonts w:hint="eastAsia" w:eastAsia="仿宋" w:cs="Times New Roman"/>
          <w:smallCaps/>
          <w:color w:val="auto"/>
          <w:kern w:val="0"/>
          <w:sz w:val="32"/>
          <w:szCs w:val="32"/>
          <w:lang w:val="en-US" w:eastAsia="zh-CN"/>
        </w:rPr>
        <w:t>1.建设岷江上游干旱河谷造林质量提升关键技术推广与示范基地</w:t>
      </w:r>
      <w:r>
        <w:rPr>
          <w:rFonts w:hint="default" w:eastAsia="仿宋" w:cs="Times New Roman"/>
          <w:smallCaps/>
          <w:color w:val="auto"/>
          <w:kern w:val="0"/>
          <w:sz w:val="32"/>
          <w:szCs w:val="32"/>
          <w:lang w:val="en" w:eastAsia="zh-CN"/>
        </w:rPr>
        <w:t>200</w:t>
      </w:r>
      <w:r>
        <w:rPr>
          <w:rFonts w:hint="eastAsia" w:eastAsia="仿宋" w:cs="Times New Roman"/>
          <w:smallCaps/>
          <w:color w:val="auto"/>
          <w:kern w:val="0"/>
          <w:sz w:val="32"/>
          <w:szCs w:val="32"/>
          <w:lang w:val="en-US" w:eastAsia="zh-CN"/>
        </w:rPr>
        <w:t>亩。示范基地新栽植苗木当年成活率 85%以上，三年保存率 80%以上。</w:t>
      </w:r>
    </w:p>
    <w:p w14:paraId="4BC4BF3F">
      <w:pPr>
        <w:widowControl/>
        <w:spacing w:line="360" w:lineRule="auto"/>
        <w:ind w:firstLine="640" w:firstLineChars="200"/>
        <w:rPr>
          <w:rFonts w:hint="eastAsia"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2.新建示范基地灌溉设施1套。</w:t>
      </w:r>
    </w:p>
    <w:p w14:paraId="15564E06">
      <w:pPr>
        <w:widowControl/>
        <w:spacing w:line="360" w:lineRule="auto"/>
        <w:ind w:firstLine="640" w:firstLineChars="200"/>
        <w:rPr>
          <w:rFonts w:hint="default"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3.开展技术培训2期，累计培训专业技术人员、专业合作社100人次。建立科技示范村1个，培养10名技术骨干（乡土专家）和10户科技示范户。</w:t>
      </w:r>
    </w:p>
    <w:p w14:paraId="158D4609">
      <w:pPr>
        <w:widowControl/>
        <w:spacing w:line="360" w:lineRule="auto"/>
        <w:ind w:firstLine="640" w:firstLineChars="200"/>
        <w:rPr>
          <w:rFonts w:hint="default"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4.编印岷江上游干旱河谷造林质量提升关键技术手册1套。发放100册。</w:t>
      </w:r>
    </w:p>
    <w:p w14:paraId="3CB2EE3F">
      <w:pPr>
        <w:widowControl/>
        <w:spacing w:line="360" w:lineRule="auto"/>
        <w:ind w:firstLine="640" w:firstLineChars="200"/>
        <w:rPr>
          <w:rFonts w:hint="eastAsia"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5.录制3-5个时长 30 分钟的培训视频。</w:t>
      </w:r>
    </w:p>
    <w:p w14:paraId="0955417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default" w:ascii="Times New Roman" w:hAnsi="Times New Roman" w:eastAsia="黑体" w:cs="Times New Roman"/>
          <w:highlight w:val="none"/>
          <w:lang w:eastAsia="zh-CN"/>
        </w:rPr>
      </w:pPr>
      <w:r>
        <w:rPr>
          <w:rFonts w:hint="default" w:ascii="Times New Roman" w:hAnsi="Times New Roman" w:eastAsia="黑体" w:cs="Times New Roman"/>
          <w:highlight w:val="none"/>
        </w:rPr>
        <w:t>二、</w:t>
      </w:r>
      <w:r>
        <w:rPr>
          <w:rFonts w:hint="default" w:ascii="Times New Roman" w:hAnsi="Times New Roman" w:eastAsia="黑体" w:cs="Times New Roman"/>
          <w:highlight w:val="none"/>
          <w:lang w:eastAsia="zh-CN"/>
        </w:rPr>
        <w:t>评价实施</w:t>
      </w:r>
    </w:p>
    <w:p w14:paraId="3FE7E67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szCs w:val="32"/>
        </w:rPr>
      </w:pPr>
      <w:r>
        <w:rPr>
          <w:rFonts w:hint="default" w:ascii="Times New Roman" w:hAnsi="Times New Roman" w:eastAsia="楷体_GB2312" w:cs="Times New Roman"/>
          <w:b/>
          <w:color w:val="auto"/>
          <w:sz w:val="32"/>
          <w:szCs w:val="32"/>
          <w:highlight w:val="none"/>
          <w:u w:val="none"/>
          <w:lang w:val="zh-CN"/>
        </w:rPr>
        <w:t>（一）评价目的。</w:t>
      </w:r>
      <w:r>
        <w:rPr>
          <w:rFonts w:hint="default" w:ascii="Times New Roman" w:hAnsi="Times New Roman" w:eastAsia="仿宋_GB2312" w:cs="Times New Roman"/>
          <w:szCs w:val="32"/>
        </w:rPr>
        <w:t>通过</w:t>
      </w:r>
      <w:r>
        <w:rPr>
          <w:rFonts w:hint="default" w:ascii="Times New Roman" w:hAnsi="Times New Roman" w:cs="Times New Roman"/>
          <w:szCs w:val="32"/>
          <w:lang w:eastAsia="zh-CN"/>
        </w:rPr>
        <w:t>项目</w:t>
      </w:r>
      <w:r>
        <w:rPr>
          <w:rFonts w:hint="default" w:ascii="Times New Roman" w:hAnsi="Times New Roman" w:eastAsia="仿宋_GB2312" w:cs="Times New Roman"/>
          <w:szCs w:val="32"/>
        </w:rPr>
        <w:t>绩效</w:t>
      </w:r>
      <w:r>
        <w:rPr>
          <w:rFonts w:hint="default" w:ascii="Times New Roman" w:hAnsi="Times New Roman" w:cs="Times New Roman"/>
          <w:szCs w:val="32"/>
          <w:lang w:eastAsia="zh-CN"/>
        </w:rPr>
        <w:t>自评要实现的目的。</w:t>
      </w:r>
    </w:p>
    <w:p w14:paraId="768155A6">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default" w:ascii="Times New Roman" w:hAnsi="Times New Roman" w:cs="Times New Roman"/>
          <w:szCs w:val="32"/>
          <w:lang w:eastAsia="zh-CN"/>
        </w:rPr>
      </w:pPr>
      <w:r>
        <w:rPr>
          <w:rFonts w:hint="default" w:ascii="Times New Roman" w:hAnsi="Times New Roman" w:eastAsia="楷体_GB2312" w:cs="Times New Roman"/>
          <w:b/>
          <w:color w:val="auto"/>
          <w:sz w:val="32"/>
          <w:szCs w:val="32"/>
          <w:highlight w:val="none"/>
          <w:u w:val="none"/>
          <w:lang w:val="zh-CN"/>
        </w:rPr>
        <w:t>（二）预设问题及评价重点。</w:t>
      </w:r>
      <w:r>
        <w:rPr>
          <w:rFonts w:hint="default" w:ascii="Times New Roman" w:hAnsi="Times New Roman" w:eastAsia="仿宋_GB2312" w:cs="Times New Roman"/>
          <w:szCs w:val="32"/>
        </w:rPr>
        <w:t>按照绩效评价指标体系，对资金支出使用全过程及其实施效果进行综合评价和判断</w:t>
      </w:r>
      <w:r>
        <w:rPr>
          <w:rFonts w:hint="default" w:ascii="Times New Roman" w:hAnsi="Times New Roman" w:eastAsia="仿宋_GB2312" w:cs="Times New Roman"/>
          <w:szCs w:val="32"/>
          <w:lang w:eastAsia="zh-CN"/>
        </w:rPr>
        <w:t>。</w:t>
      </w:r>
    </w:p>
    <w:p w14:paraId="3D08B3B8">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default" w:ascii="Times New Roman" w:hAnsi="Times New Roman" w:cs="Times New Roman"/>
          <w:szCs w:val="32"/>
          <w:lang w:val="zh-CN" w:eastAsia="zh-CN"/>
        </w:rPr>
      </w:pPr>
      <w:r>
        <w:rPr>
          <w:rFonts w:hint="default" w:ascii="Times New Roman" w:hAnsi="Times New Roman" w:eastAsia="楷体_GB2312" w:cs="Times New Roman"/>
          <w:b/>
          <w:color w:val="auto"/>
          <w:sz w:val="32"/>
          <w:szCs w:val="32"/>
          <w:highlight w:val="none"/>
          <w:u w:val="none"/>
          <w:lang w:val="zh-CN"/>
        </w:rPr>
        <w:t>（三）评价选点。</w:t>
      </w:r>
      <w:r>
        <w:rPr>
          <w:rFonts w:hint="default" w:ascii="Times New Roman" w:hAnsi="Times New Roman" w:cs="Times New Roman"/>
          <w:szCs w:val="32"/>
          <w:lang w:val="zh-CN" w:eastAsia="zh-CN"/>
        </w:rPr>
        <w:t>项目绩效自评所抽样点位情况。每个专项预算项目</w:t>
      </w:r>
      <w:r>
        <w:rPr>
          <w:rFonts w:hint="default" w:ascii="Times New Roman" w:hAnsi="Times New Roman" w:cs="Times New Roman"/>
          <w:szCs w:val="32"/>
          <w:lang w:val="en-US" w:eastAsia="zh-CN"/>
        </w:rPr>
        <w:t>应选取</w:t>
      </w:r>
      <w:r>
        <w:rPr>
          <w:rFonts w:hint="eastAsia" w:ascii="Times New Roman" w:hAnsi="Times New Roman" w:cs="Times New Roman"/>
          <w:szCs w:val="32"/>
          <w:lang w:val="en-US" w:eastAsia="zh-CN"/>
        </w:rPr>
        <w:t>专项资金分配涉及市县总数的20%、总计不超过</w:t>
      </w:r>
      <w:r>
        <w:rPr>
          <w:rFonts w:hint="default" w:ascii="Times New Roman" w:hAnsi="Times New Roman" w:cs="Times New Roman"/>
          <w:szCs w:val="32"/>
          <w:lang w:val="en-US" w:eastAsia="zh-CN"/>
        </w:rPr>
        <w:t>20个的市县点位进行实地踏勘，且点位清单应作为自评附</w:t>
      </w:r>
      <w:r>
        <w:rPr>
          <w:rFonts w:hint="eastAsia" w:ascii="Times New Roman" w:hAnsi="Times New Roman" w:cs="Times New Roman"/>
          <w:szCs w:val="32"/>
          <w:lang w:val="en-US" w:eastAsia="zh-CN"/>
        </w:rPr>
        <w:t>表</w:t>
      </w:r>
      <w:r>
        <w:rPr>
          <w:rFonts w:hint="default" w:ascii="Times New Roman" w:hAnsi="Times New Roman" w:cs="Times New Roman"/>
          <w:szCs w:val="32"/>
          <w:lang w:val="en-US" w:eastAsia="zh-CN"/>
        </w:rPr>
        <w:t>。</w:t>
      </w:r>
    </w:p>
    <w:p w14:paraId="5034910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szCs w:val="32"/>
          <w:lang w:eastAsia="zh-CN"/>
        </w:rPr>
      </w:pPr>
      <w:r>
        <w:rPr>
          <w:rFonts w:hint="default" w:ascii="Times New Roman" w:hAnsi="Times New Roman" w:eastAsia="楷体_GB2312" w:cs="Times New Roman"/>
          <w:b/>
          <w:color w:val="auto"/>
          <w:sz w:val="32"/>
          <w:szCs w:val="32"/>
          <w:highlight w:val="none"/>
          <w:u w:val="none"/>
          <w:lang w:val="zh-CN"/>
        </w:rPr>
        <w:t>（四）评价方法。</w:t>
      </w:r>
      <w:r>
        <w:rPr>
          <w:rFonts w:hint="default" w:ascii="Times New Roman" w:hAnsi="Times New Roman" w:eastAsia="仿宋_GB2312" w:cs="Times New Roman"/>
          <w:szCs w:val="32"/>
        </w:rPr>
        <w:t>根据项目情况和评价重点，</w:t>
      </w:r>
      <w:r>
        <w:rPr>
          <w:rFonts w:hint="default" w:ascii="Times New Roman" w:hAnsi="Times New Roman" w:cs="Times New Roman"/>
          <w:szCs w:val="32"/>
          <w:lang w:eastAsia="zh-CN"/>
        </w:rPr>
        <w:t>用来</w:t>
      </w:r>
      <w:r>
        <w:rPr>
          <w:rFonts w:hint="default" w:ascii="Times New Roman" w:hAnsi="Times New Roman" w:eastAsia="仿宋_GB2312" w:cs="Times New Roman"/>
          <w:szCs w:val="32"/>
        </w:rPr>
        <w:t>收集相关材料和开展具体评价</w:t>
      </w:r>
      <w:r>
        <w:rPr>
          <w:rFonts w:hint="default" w:ascii="Times New Roman" w:hAnsi="Times New Roman" w:cs="Times New Roman"/>
          <w:szCs w:val="32"/>
          <w:lang w:eastAsia="zh-CN"/>
        </w:rPr>
        <w:t>的方法</w:t>
      </w:r>
      <w:r>
        <w:rPr>
          <w:rFonts w:hint="default" w:ascii="Times New Roman" w:hAnsi="Times New Roman" w:eastAsia="仿宋_GB2312" w:cs="Times New Roman"/>
          <w:szCs w:val="32"/>
        </w:rPr>
        <w:t>。</w:t>
      </w:r>
      <w:r>
        <w:rPr>
          <w:rFonts w:hint="default" w:ascii="Times New Roman" w:hAnsi="Times New Roman" w:cs="Times New Roman"/>
          <w:szCs w:val="32"/>
          <w:lang w:eastAsia="zh-CN"/>
        </w:rPr>
        <w:t>包括：</w:t>
      </w:r>
      <w:r>
        <w:rPr>
          <w:rFonts w:hint="default" w:ascii="Times New Roman" w:hAnsi="Times New Roman" w:eastAsia="仿宋_GB2312" w:cs="Times New Roman"/>
          <w:szCs w:val="32"/>
        </w:rPr>
        <w:t>采用成本效益分析法、标杆管理法、案卷研究法、单位自评法、实地勘察法、问卷调查法、座谈调研法等多种方法</w:t>
      </w:r>
      <w:r>
        <w:rPr>
          <w:rFonts w:hint="default" w:ascii="Times New Roman" w:hAnsi="Times New Roman" w:cs="Times New Roman"/>
          <w:szCs w:val="32"/>
          <w:lang w:eastAsia="zh-CN"/>
        </w:rPr>
        <w:t>。</w:t>
      </w:r>
    </w:p>
    <w:p w14:paraId="1293C3C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bCs/>
          <w:lang w:eastAsia="zh-CN"/>
        </w:rPr>
      </w:pPr>
      <w:r>
        <w:rPr>
          <w:rFonts w:hint="default" w:ascii="Times New Roman" w:hAnsi="Times New Roman" w:eastAsia="楷体_GB2312" w:cs="Times New Roman"/>
          <w:b/>
          <w:color w:val="auto"/>
          <w:sz w:val="32"/>
          <w:szCs w:val="32"/>
          <w:highlight w:val="none"/>
          <w:u w:val="none"/>
          <w:lang w:val="zh-CN"/>
        </w:rPr>
        <w:t>（五）评价组织。</w:t>
      </w:r>
      <w:r>
        <w:rPr>
          <w:rFonts w:hint="default" w:ascii="Times New Roman" w:hAnsi="Times New Roman" w:eastAsia="仿宋_GB2312" w:cs="Times New Roman"/>
          <w:szCs w:val="32"/>
        </w:rPr>
        <w:t>评价组人员构成</w:t>
      </w:r>
      <w:r>
        <w:rPr>
          <w:rFonts w:hint="default" w:ascii="Times New Roman" w:hAnsi="Times New Roman" w:cs="Times New Roman"/>
          <w:szCs w:val="32"/>
          <w:lang w:eastAsia="zh-CN"/>
        </w:rPr>
        <w:t>和</w:t>
      </w:r>
      <w:r>
        <w:rPr>
          <w:rFonts w:hint="default" w:ascii="Times New Roman" w:hAnsi="Times New Roman" w:eastAsia="仿宋_GB2312" w:cs="Times New Roman"/>
          <w:szCs w:val="32"/>
        </w:rPr>
        <w:t>职责分工</w:t>
      </w:r>
      <w:r>
        <w:rPr>
          <w:rFonts w:hint="default" w:ascii="Times New Roman" w:hAnsi="Times New Roman" w:cs="Times New Roman"/>
          <w:szCs w:val="32"/>
          <w:lang w:eastAsia="zh-CN"/>
        </w:rPr>
        <w:t>。</w:t>
      </w:r>
    </w:p>
    <w:p w14:paraId="6F5F2780">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hint="default" w:ascii="Times New Roman" w:hAnsi="Times New Roman" w:cs="Times New Roman"/>
          <w:color w:val="auto"/>
          <w:sz w:val="32"/>
          <w:szCs w:val="32"/>
          <w:highlight w:val="none"/>
          <w:u w:val="none"/>
          <w:lang w:val="zh-CN"/>
        </w:rPr>
      </w:pPr>
      <w:r>
        <w:rPr>
          <w:rFonts w:hint="default" w:ascii="Times New Roman" w:hAnsi="Times New Roman" w:eastAsia="黑体" w:cs="Times New Roman"/>
          <w:color w:val="auto"/>
          <w:sz w:val="32"/>
          <w:szCs w:val="32"/>
          <w:highlight w:val="none"/>
          <w:u w:val="none"/>
        </w:rPr>
        <w:t>三、</w:t>
      </w:r>
      <w:r>
        <w:rPr>
          <w:rFonts w:hint="default" w:ascii="Times New Roman" w:hAnsi="Times New Roman" w:eastAsia="黑体" w:cs="Times New Roman"/>
          <w:color w:val="auto"/>
          <w:sz w:val="32"/>
          <w:szCs w:val="32"/>
          <w:highlight w:val="none"/>
          <w:u w:val="none"/>
          <w:lang w:eastAsia="zh-CN"/>
        </w:rPr>
        <w:t>绩效分析</w:t>
      </w:r>
      <w:r>
        <w:rPr>
          <w:rFonts w:hint="default" w:ascii="Times New Roman" w:hAnsi="Times New Roman" w:cs="Times New Roman"/>
          <w:color w:val="auto"/>
          <w:sz w:val="32"/>
          <w:szCs w:val="32"/>
          <w:highlight w:val="none"/>
          <w:u w:val="none"/>
          <w:lang w:val="zh-CN"/>
        </w:rPr>
        <w:tab/>
      </w:r>
    </w:p>
    <w:p w14:paraId="6C484932">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default" w:ascii="Times New Roman" w:hAnsi="Times New Roman" w:eastAsia="仿宋_GB2312" w:cs="Times New Roman"/>
          <w:szCs w:val="32"/>
          <w:lang w:val="en-US" w:eastAsia="zh-CN"/>
        </w:rPr>
      </w:pPr>
      <w:r>
        <w:rPr>
          <w:rFonts w:hint="default" w:ascii="Times New Roman" w:hAnsi="Times New Roman" w:eastAsia="仿宋_GB2312" w:cs="Times New Roman"/>
          <w:szCs w:val="32"/>
          <w:lang w:val="zh-CN" w:eastAsia="zh-CN"/>
        </w:rPr>
        <w:t>根据项目预算绩效评价指标体系“通用指标”“专用指标”“个性指标”涉及二、三级指标进行逐项绩效分析并评分</w:t>
      </w:r>
      <w:r>
        <w:rPr>
          <w:rFonts w:hint="default" w:ascii="Times New Roman" w:hAnsi="Times New Roman" w:cs="Times New Roman"/>
          <w:szCs w:val="32"/>
          <w:lang w:val="en-US" w:eastAsia="zh-CN"/>
        </w:rPr>
        <w:t>。</w:t>
      </w:r>
    </w:p>
    <w:p w14:paraId="52551479">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color w:val="auto"/>
          <w:sz w:val="32"/>
          <w:szCs w:val="32"/>
          <w:highlight w:val="none"/>
          <w:u w:val="none"/>
          <w:lang w:val="en-US" w:eastAsia="zh-CN"/>
        </w:rPr>
      </w:pPr>
      <w:r>
        <w:rPr>
          <w:rFonts w:hint="default" w:ascii="Times New Roman" w:hAnsi="Times New Roman" w:eastAsia="楷体_GB2312" w:cs="Times New Roman"/>
          <w:b/>
          <w:color w:val="auto"/>
          <w:sz w:val="32"/>
          <w:szCs w:val="32"/>
          <w:highlight w:val="none"/>
          <w:u w:val="none"/>
          <w:lang w:val="zh-CN"/>
        </w:rPr>
        <w:t>（一）</w:t>
      </w:r>
      <w:r>
        <w:rPr>
          <w:rFonts w:hint="default" w:ascii="Times New Roman" w:hAnsi="Times New Roman"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2F1A403D">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1.</w:t>
      </w:r>
      <w:r>
        <w:rPr>
          <w:rFonts w:hint="default" w:ascii="Times New Roman" w:hAnsi="Times New Roman" w:eastAsia="楷体_GB2312" w:cs="Times New Roman"/>
          <w:color w:val="auto"/>
          <w:szCs w:val="32"/>
          <w:lang w:eastAsia="zh-CN"/>
        </w:rPr>
        <w:t>项目决策。</w:t>
      </w:r>
      <w:r>
        <w:rPr>
          <w:rFonts w:hint="default" w:ascii="Times New Roman" w:hAnsi="Times New Roman" w:cs="Times New Roman"/>
          <w:color w:val="auto"/>
          <w:szCs w:val="32"/>
          <w:lang w:eastAsia="zh-CN"/>
        </w:rPr>
        <w:t>围绕决策程序、规划论证、资金投向进行绩效分析。</w:t>
      </w:r>
    </w:p>
    <w:p w14:paraId="7D3472C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2.</w:t>
      </w:r>
      <w:r>
        <w:rPr>
          <w:rFonts w:hint="default" w:ascii="Times New Roman" w:hAnsi="Times New Roman" w:eastAsia="楷体_GB2312" w:cs="Times New Roman"/>
          <w:color w:val="auto"/>
          <w:szCs w:val="32"/>
          <w:lang w:eastAsia="zh-CN"/>
        </w:rPr>
        <w:t>项目管理。</w:t>
      </w:r>
      <w:r>
        <w:rPr>
          <w:rFonts w:hint="default" w:ascii="Times New Roman" w:hAnsi="Times New Roman" w:cs="Times New Roman"/>
          <w:color w:val="auto"/>
          <w:szCs w:val="32"/>
          <w:lang w:eastAsia="zh-CN"/>
        </w:rPr>
        <w:t>围绕制度办法、分配管理、绩效监管进行绩效分析。</w:t>
      </w:r>
    </w:p>
    <w:p w14:paraId="5A7F7DF6">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3.项目实施。</w:t>
      </w:r>
      <w:r>
        <w:rPr>
          <w:rFonts w:hint="default" w:ascii="Times New Roman" w:hAnsi="Times New Roman" w:cs="Times New Roman"/>
          <w:color w:val="auto"/>
          <w:szCs w:val="32"/>
          <w:lang w:eastAsia="zh-CN"/>
        </w:rPr>
        <w:t>围绕预算</w:t>
      </w:r>
      <w:r>
        <w:rPr>
          <w:rFonts w:hint="default" w:ascii="Times New Roman" w:hAnsi="Times New Roman" w:eastAsia="仿宋_GB2312" w:cs="Times New Roman"/>
          <w:color w:val="auto"/>
          <w:szCs w:val="32"/>
          <w:lang w:val="zh-CN" w:eastAsia="zh-CN"/>
        </w:rPr>
        <w:t>执行</w:t>
      </w:r>
      <w:r>
        <w:rPr>
          <w:rFonts w:hint="default" w:ascii="Times New Roman" w:hAnsi="Times New Roman" w:cs="Times New Roman"/>
          <w:color w:val="auto"/>
          <w:szCs w:val="32"/>
          <w:lang w:eastAsia="zh-CN"/>
        </w:rPr>
        <w:t>、资金使用进行绩效分析。</w:t>
      </w:r>
    </w:p>
    <w:p w14:paraId="23BF4E62">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default" w:ascii="Times New Roman" w:hAnsi="Times New Roman" w:cs="Times New Roman"/>
          <w:color w:val="auto"/>
          <w:szCs w:val="32"/>
          <w:lang w:eastAsia="zh-CN"/>
        </w:rPr>
      </w:pPr>
      <w:r>
        <w:rPr>
          <w:rFonts w:hint="default" w:ascii="Times New Roman" w:hAnsi="Times New Roman" w:eastAsia="楷体_GB2312" w:cs="Times New Roman"/>
          <w:color w:val="auto"/>
          <w:szCs w:val="32"/>
          <w:lang w:val="en-US" w:eastAsia="zh-CN"/>
        </w:rPr>
        <w:t>4.项目结果。</w:t>
      </w:r>
      <w:r>
        <w:rPr>
          <w:rFonts w:hint="default" w:ascii="Times New Roman" w:hAnsi="Times New Roman" w:cs="Times New Roman"/>
          <w:color w:val="auto"/>
          <w:szCs w:val="32"/>
          <w:lang w:val="en-US" w:eastAsia="zh-CN"/>
        </w:rPr>
        <w:t>围绕</w:t>
      </w:r>
      <w:r>
        <w:rPr>
          <w:rFonts w:hint="default" w:ascii="Times New Roman" w:hAnsi="Times New Roman" w:cs="Times New Roman"/>
          <w:color w:val="auto"/>
          <w:szCs w:val="32"/>
          <w:lang w:eastAsia="zh-CN"/>
        </w:rPr>
        <w:t>目标完成、完成时效进行绩效分析。</w:t>
      </w:r>
    </w:p>
    <w:p w14:paraId="58B373F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eastAsia="楷体_GB2312" w:cs="Times New Roman"/>
          <w:color w:val="auto"/>
          <w:szCs w:val="32"/>
          <w:lang w:val="zh-CN" w:eastAsia="zh-CN"/>
        </w:rPr>
      </w:pPr>
      <w:r>
        <w:rPr>
          <w:rFonts w:hint="default" w:ascii="Times New Roman" w:hAnsi="Times New Roman" w:eastAsia="楷体_GB2312" w:cs="Times New Roman"/>
          <w:b/>
          <w:color w:val="auto"/>
          <w:sz w:val="32"/>
          <w:szCs w:val="32"/>
          <w:highlight w:val="none"/>
          <w:u w:val="none"/>
          <w:lang w:val="zh-CN"/>
        </w:rPr>
        <w:t>（二）</w:t>
      </w:r>
      <w:r>
        <w:rPr>
          <w:rFonts w:hint="default" w:ascii="Times New Roman" w:hAnsi="Times New Roman"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cs="Times New Roman"/>
          <w:color w:val="auto"/>
          <w:szCs w:val="32"/>
          <w:lang w:val="zh-CN" w:eastAsia="zh-CN"/>
        </w:rPr>
        <w:t>根据</w:t>
      </w:r>
      <w:r>
        <w:rPr>
          <w:rFonts w:hint="default" w:ascii="Times New Roman" w:hAnsi="Times New Roman" w:cs="Times New Roman"/>
          <w:color w:val="auto"/>
          <w:szCs w:val="32"/>
          <w:lang w:val="en-US" w:eastAsia="zh-CN"/>
        </w:rPr>
        <w:t>专项预算项目资金支持对象选择所属指标进行绩效分析。支持对象</w:t>
      </w:r>
      <w:r>
        <w:rPr>
          <w:rFonts w:hint="default" w:ascii="Times New Roman" w:hAnsi="Times New Roman" w:cs="Times New Roman"/>
          <w:color w:val="auto"/>
          <w:szCs w:val="32"/>
          <w:lang w:val="zh-CN" w:eastAsia="zh-CN"/>
        </w:rPr>
        <w:t>包括产业发展、民生保障、基础设施、行政运转等方面。</w:t>
      </w:r>
    </w:p>
    <w:p w14:paraId="1384BA14">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楷体_GB2312" w:cs="Times New Roman"/>
          <w:color w:val="auto"/>
          <w:szCs w:val="32"/>
          <w:lang w:val="en-US" w:eastAsia="zh-CN"/>
        </w:rPr>
      </w:pPr>
      <w:r>
        <w:rPr>
          <w:rFonts w:hint="default" w:ascii="Times New Roman" w:hAnsi="Times New Roman" w:eastAsia="楷体_GB2312" w:cs="Times New Roman"/>
          <w:color w:val="auto"/>
          <w:szCs w:val="32"/>
          <w:lang w:val="en-US" w:eastAsia="zh-CN"/>
        </w:rPr>
        <w:t>1.产业发展类。</w:t>
      </w:r>
      <w:r>
        <w:rPr>
          <w:rFonts w:hint="default" w:ascii="Times New Roman" w:hAnsi="Times New Roman" w:cs="Times New Roman"/>
          <w:color w:val="auto"/>
          <w:szCs w:val="32"/>
          <w:lang w:eastAsia="zh-CN"/>
        </w:rPr>
        <w:t>围绕符合性、成长性、经济性进行绩效分析。</w:t>
      </w:r>
    </w:p>
    <w:p w14:paraId="60878982">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楷体_GB2312" w:cs="Times New Roman"/>
          <w:color w:val="auto"/>
          <w:szCs w:val="32"/>
          <w:lang w:val="en-US" w:eastAsia="zh-CN"/>
        </w:rPr>
      </w:pPr>
      <w:r>
        <w:rPr>
          <w:rFonts w:hint="default" w:ascii="Times New Roman" w:hAnsi="Times New Roman" w:eastAsia="楷体_GB2312" w:cs="Times New Roman"/>
          <w:color w:val="auto"/>
          <w:szCs w:val="32"/>
          <w:lang w:val="en-US" w:eastAsia="zh-CN"/>
        </w:rPr>
        <w:t>2.</w:t>
      </w:r>
      <w:r>
        <w:rPr>
          <w:rFonts w:hint="default" w:ascii="Times New Roman" w:hAnsi="Times New Roman" w:eastAsia="楷体_GB2312" w:cs="Times New Roman"/>
          <w:color w:val="auto"/>
          <w:szCs w:val="32"/>
          <w:lang w:val="zh-CN" w:eastAsia="zh-CN"/>
        </w:rPr>
        <w:t>民生保障</w:t>
      </w:r>
      <w:r>
        <w:rPr>
          <w:rFonts w:hint="default" w:ascii="Times New Roman" w:hAnsi="Times New Roman" w:eastAsia="楷体_GB2312" w:cs="Times New Roman"/>
          <w:color w:val="auto"/>
          <w:szCs w:val="32"/>
          <w:lang w:val="en-US" w:eastAsia="zh-CN"/>
        </w:rPr>
        <w:t>类</w:t>
      </w:r>
      <w:r>
        <w:rPr>
          <w:rFonts w:hint="default" w:ascii="Times New Roman" w:hAnsi="Times New Roman" w:eastAsia="楷体_GB2312" w:cs="Times New Roman"/>
          <w:color w:val="auto"/>
          <w:szCs w:val="32"/>
          <w:lang w:val="zh-CN" w:eastAsia="zh-CN"/>
        </w:rPr>
        <w:t>。</w:t>
      </w:r>
      <w:r>
        <w:rPr>
          <w:rFonts w:hint="default" w:ascii="Times New Roman" w:hAnsi="Times New Roman" w:cs="Times New Roman"/>
          <w:color w:val="auto"/>
          <w:szCs w:val="32"/>
          <w:lang w:eastAsia="zh-CN"/>
        </w:rPr>
        <w:t>围绕区域均衡性、对象精准性、标准合理性、群众满意度进行绩效分析。</w:t>
      </w:r>
    </w:p>
    <w:p w14:paraId="47AF1A54">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eastAsia="楷体_GB2312" w:cs="Times New Roman"/>
          <w:color w:val="auto"/>
          <w:szCs w:val="32"/>
          <w:lang w:val="en-US" w:eastAsia="zh-CN"/>
        </w:rPr>
      </w:pPr>
      <w:r>
        <w:rPr>
          <w:rFonts w:hint="default" w:ascii="Times New Roman" w:hAnsi="Times New Roman" w:eastAsia="楷体_GB2312" w:cs="Times New Roman"/>
          <w:color w:val="auto"/>
          <w:szCs w:val="32"/>
          <w:lang w:val="en-US" w:eastAsia="zh-CN"/>
        </w:rPr>
        <w:t>3.基础设施类。</w:t>
      </w:r>
      <w:r>
        <w:rPr>
          <w:rFonts w:hint="default" w:ascii="Times New Roman" w:hAnsi="Times New Roman" w:cs="Times New Roman"/>
          <w:color w:val="auto"/>
          <w:szCs w:val="32"/>
          <w:lang w:eastAsia="zh-CN"/>
        </w:rPr>
        <w:t>在建项目围绕工程进度和资金拨付进行绩效分析；建成项目围绕项目验收、功能实现、后续管护进行绩效分析。</w:t>
      </w:r>
    </w:p>
    <w:p w14:paraId="717C1843">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Times New Roman" w:hAnsi="Times New Roman" w:cs="Times New Roman"/>
          <w:color w:val="auto"/>
          <w:szCs w:val="32"/>
          <w:lang w:val="en-US" w:eastAsia="zh-CN"/>
        </w:rPr>
      </w:pPr>
      <w:r>
        <w:rPr>
          <w:rFonts w:hint="default" w:ascii="Times New Roman" w:hAnsi="Times New Roman" w:eastAsia="楷体_GB2312" w:cs="Times New Roman"/>
          <w:color w:val="auto"/>
          <w:szCs w:val="32"/>
          <w:lang w:val="en-US" w:eastAsia="zh-CN"/>
        </w:rPr>
        <w:t>4.</w:t>
      </w:r>
      <w:r>
        <w:rPr>
          <w:rFonts w:hint="default" w:ascii="Times New Roman" w:hAnsi="Times New Roman" w:eastAsia="楷体_GB2312" w:cs="Times New Roman"/>
          <w:color w:val="auto"/>
          <w:szCs w:val="32"/>
          <w:lang w:val="zh-CN" w:eastAsia="zh-CN"/>
        </w:rPr>
        <w:t>行政运转</w:t>
      </w:r>
      <w:r>
        <w:rPr>
          <w:rFonts w:hint="default" w:ascii="Times New Roman" w:hAnsi="Times New Roman" w:eastAsia="楷体_GB2312" w:cs="Times New Roman"/>
          <w:color w:val="auto"/>
          <w:szCs w:val="32"/>
          <w:lang w:val="en-US" w:eastAsia="zh-CN"/>
        </w:rPr>
        <w:t>类</w:t>
      </w:r>
      <w:r>
        <w:rPr>
          <w:rFonts w:hint="default" w:ascii="Times New Roman" w:hAnsi="Times New Roman" w:eastAsia="楷体_GB2312" w:cs="Times New Roman"/>
          <w:color w:val="auto"/>
          <w:szCs w:val="32"/>
          <w:lang w:val="zh-CN" w:eastAsia="zh-CN"/>
        </w:rPr>
        <w:t>。</w:t>
      </w:r>
      <w:r>
        <w:rPr>
          <w:rFonts w:hint="default" w:ascii="Times New Roman" w:hAnsi="Times New Roman" w:cs="Times New Roman"/>
          <w:color w:val="auto"/>
          <w:szCs w:val="32"/>
          <w:lang w:val="zh-CN" w:eastAsia="zh-CN"/>
        </w:rPr>
        <w:t>围绕用途合规性、程序合规性、标准合规性进行绩效分析。</w:t>
      </w:r>
    </w:p>
    <w:p w14:paraId="52F7B83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cs="Times New Roman"/>
          <w:color w:val="auto"/>
          <w:szCs w:val="32"/>
          <w:lang w:val="en-US" w:eastAsia="zh-CN"/>
        </w:rPr>
      </w:pPr>
      <w:r>
        <w:rPr>
          <w:rFonts w:hint="default" w:ascii="Times New Roman" w:hAnsi="Times New Roman" w:eastAsia="楷体_GB2312" w:cs="Times New Roman"/>
          <w:b/>
          <w:color w:val="auto"/>
          <w:sz w:val="32"/>
          <w:szCs w:val="32"/>
          <w:highlight w:val="none"/>
          <w:u w:val="none"/>
          <w:lang w:val="zh-CN"/>
        </w:rPr>
        <w:t>（三）</w:t>
      </w:r>
      <w:r>
        <w:rPr>
          <w:rFonts w:hint="default" w:ascii="Times New Roman" w:hAnsi="Times New Roman"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cs="Times New Roman"/>
          <w:color w:val="auto"/>
          <w:szCs w:val="32"/>
          <w:lang w:val="zh-CN" w:eastAsia="zh-CN"/>
        </w:rPr>
        <w:t>根据项目个性自行设定部分指标，反映该项指标执行完成情况。</w:t>
      </w:r>
    </w:p>
    <w:p w14:paraId="0451F9F3">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rPr>
      </w:pPr>
      <w:r>
        <w:rPr>
          <w:rFonts w:hint="default" w:ascii="Times New Roman" w:hAnsi="Times New Roman" w:eastAsia="黑体" w:cs="Times New Roman"/>
          <w:color w:val="auto"/>
          <w:sz w:val="32"/>
          <w:szCs w:val="32"/>
          <w:highlight w:val="none"/>
          <w:u w:val="none"/>
          <w:lang w:eastAsia="zh-CN"/>
        </w:rPr>
        <w:t>四</w:t>
      </w:r>
      <w:r>
        <w:rPr>
          <w:rFonts w:hint="default" w:ascii="Times New Roman" w:hAnsi="Times New Roman" w:eastAsia="黑体" w:cs="Times New Roman"/>
          <w:color w:val="auto"/>
          <w:sz w:val="32"/>
          <w:szCs w:val="32"/>
          <w:highlight w:val="none"/>
          <w:u w:val="none"/>
        </w:rPr>
        <w:t>、评价结论</w:t>
      </w:r>
    </w:p>
    <w:p w14:paraId="204EE594">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Times New Roman" w:hAnsi="Times New Roman" w:cs="Times New Roman"/>
          <w:b w:val="0"/>
          <w:bCs w:val="0"/>
          <w:kern w:val="2"/>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en-US" w:eastAsia="zh-CN" w:bidi="ar-SA"/>
        </w:rPr>
        <w:t>简要阐述专项预算项目绩效自评总体结论，包含评价总分、</w:t>
      </w:r>
      <w:r>
        <w:rPr>
          <w:rFonts w:hint="default" w:ascii="Times New Roman" w:hAnsi="Times New Roman" w:eastAsia="仿宋_GB2312" w:cs="Times New Roman"/>
          <w:b w:val="0"/>
          <w:bCs w:val="0"/>
          <w:sz w:val="32"/>
          <w:szCs w:val="32"/>
          <w:highlight w:val="none"/>
          <w:lang w:val="zh-CN"/>
        </w:rPr>
        <w:t>项目实施情况。</w:t>
      </w:r>
    </w:p>
    <w:p w14:paraId="1EF61B08">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u w:val="none"/>
          <w:lang w:eastAsia="zh-CN"/>
        </w:rPr>
      </w:pPr>
      <w:r>
        <w:rPr>
          <w:rFonts w:hint="default" w:ascii="Times New Roman" w:hAnsi="Times New Roman" w:cs="Times New Roman"/>
          <w:color w:val="auto"/>
          <w:sz w:val="32"/>
          <w:szCs w:val="32"/>
          <w:highlight w:val="none"/>
          <w:u w:val="none"/>
          <w:lang w:eastAsia="zh-CN"/>
        </w:rPr>
        <w:t>五、</w:t>
      </w:r>
      <w:r>
        <w:rPr>
          <w:rFonts w:hint="default" w:ascii="Times New Roman" w:hAnsi="Times New Roman" w:eastAsia="黑体" w:cs="Times New Roman"/>
          <w:color w:val="auto"/>
          <w:sz w:val="32"/>
          <w:szCs w:val="32"/>
          <w:highlight w:val="none"/>
          <w:u w:val="none"/>
          <w:lang w:eastAsia="zh-CN"/>
        </w:rPr>
        <w:t>存在主要问题</w:t>
      </w:r>
    </w:p>
    <w:p w14:paraId="4953BC38">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Times New Roman" w:hAnsi="Times New Roman" w:cs="Times New Roman"/>
          <w:b w:val="0"/>
          <w:bCs w:val="0"/>
          <w:kern w:val="2"/>
          <w:position w:val="0"/>
          <w:sz w:val="32"/>
          <w:szCs w:val="32"/>
          <w:highlight w:val="none"/>
          <w:lang w:val="en-US" w:eastAsia="zh-CN" w:bidi="ar-SA"/>
        </w:rPr>
      </w:pPr>
      <w:r>
        <w:rPr>
          <w:rFonts w:hint="default" w:ascii="Times New Roman" w:hAnsi="Times New Roman" w:eastAsia="仿宋_GB2312" w:cs="Times New Roman"/>
          <w:b w:val="0"/>
          <w:bCs w:val="0"/>
          <w:kern w:val="0"/>
          <w:position w:val="0"/>
          <w:sz w:val="32"/>
          <w:szCs w:val="32"/>
          <w:highlight w:val="none"/>
          <w:lang w:val="en-US" w:eastAsia="zh-CN" w:bidi="ar-SA"/>
        </w:rPr>
        <w:t>简要阐述专项预算项目绩效自评发现的主要问题。</w:t>
      </w:r>
    </w:p>
    <w:p w14:paraId="3549A988">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kern w:val="0"/>
          <w:position w:val="3"/>
          <w:sz w:val="32"/>
          <w:szCs w:val="32"/>
          <w:highlight w:val="none"/>
          <w:u w:val="none"/>
          <w:lang w:val="zh-CN" w:eastAsia="zh-CN" w:bidi="ar-SA"/>
        </w:rPr>
      </w:pPr>
      <w:r>
        <w:rPr>
          <w:rFonts w:hint="default" w:ascii="Times New Roman" w:hAnsi="Times New Roman" w:eastAsia="黑体" w:cs="Times New Roman"/>
          <w:color w:val="auto"/>
          <w:kern w:val="0"/>
          <w:position w:val="3"/>
          <w:sz w:val="32"/>
          <w:szCs w:val="32"/>
          <w:highlight w:val="none"/>
          <w:u w:val="none"/>
          <w:lang w:val="zh-CN" w:eastAsia="zh-CN" w:bidi="ar-SA"/>
        </w:rPr>
        <w:t>六、改进建议</w:t>
      </w:r>
    </w:p>
    <w:p w14:paraId="09342960">
      <w:pPr>
        <w:tabs>
          <w:tab w:val="left" w:pos="1911"/>
        </w:tabs>
        <w:jc w:val="left"/>
        <w:rPr>
          <w:rFonts w:hint="default" w:ascii="Times New Roman" w:hAnsi="Times New Roman" w:eastAsia="仿宋_GB2312" w:cs="Times New Roman"/>
          <w:b w:val="0"/>
          <w:bCs w:val="0"/>
          <w:kern w:val="0"/>
          <w:position w:val="0"/>
          <w:sz w:val="32"/>
          <w:szCs w:val="32"/>
          <w:highlight w:val="none"/>
          <w:lang w:val="en" w:eastAsia="zh-CN" w:bidi="ar-SA"/>
        </w:rPr>
      </w:pPr>
      <w:r>
        <w:rPr>
          <w:rFonts w:hint="default" w:ascii="Times New Roman" w:hAnsi="Times New Roman" w:eastAsia="仿宋_GB2312" w:cs="Times New Roman"/>
          <w:color w:val="auto"/>
          <w:kern w:val="0"/>
          <w:sz w:val="32"/>
          <w:szCs w:val="32"/>
          <w:highlight w:val="none"/>
          <w:u w:val="none"/>
          <w:shd w:val="clear" w:color="auto" w:fill="FFFFFF"/>
          <w:lang w:val="zh-CN" w:eastAsia="zh-CN"/>
        </w:rPr>
        <w:t xml:space="preserve"> </w:t>
      </w:r>
      <w:r>
        <w:rPr>
          <w:rFonts w:hint="default" w:ascii="Times New Roman" w:hAnsi="Times New Roman" w:cs="Times New Roman"/>
          <w:b w:val="0"/>
          <w:bCs w:val="0"/>
          <w:kern w:val="0"/>
          <w:position w:val="0"/>
          <w:sz w:val="32"/>
          <w:szCs w:val="32"/>
          <w:highlight w:val="none"/>
          <w:lang w:val="en-US" w:eastAsia="zh-CN" w:bidi="ar-SA"/>
        </w:rPr>
        <w:t xml:space="preserve">   </w:t>
      </w:r>
      <w:r>
        <w:rPr>
          <w:rFonts w:hint="default" w:ascii="Times New Roman" w:hAnsi="Times New Roman" w:eastAsia="仿宋_GB2312" w:cs="Times New Roman"/>
          <w:b w:val="0"/>
          <w:bCs w:val="0"/>
          <w:kern w:val="0"/>
          <w:position w:val="0"/>
          <w:sz w:val="32"/>
          <w:szCs w:val="32"/>
          <w:highlight w:val="none"/>
          <w:lang w:val="en-US" w:eastAsia="zh-CN" w:bidi="ar-SA"/>
        </w:rPr>
        <w:t>简要阐述</w:t>
      </w:r>
      <w:bookmarkStart w:id="8" w:name="_Hlk110546638"/>
      <w:r>
        <w:rPr>
          <w:rFonts w:hint="default" w:ascii="Times New Roman" w:hAnsi="Times New Roman" w:eastAsia="仿宋_GB2312" w:cs="Times New Roman"/>
          <w:b w:val="0"/>
          <w:bCs w:val="0"/>
          <w:kern w:val="0"/>
          <w:position w:val="0"/>
          <w:sz w:val="32"/>
          <w:szCs w:val="32"/>
          <w:highlight w:val="none"/>
          <w:lang w:val="en-US" w:eastAsia="zh-CN" w:bidi="ar-SA"/>
        </w:rPr>
        <w:t>专项预算项目</w:t>
      </w:r>
      <w:r>
        <w:rPr>
          <w:rFonts w:hint="default" w:ascii="Times New Roman" w:hAnsi="Times New Roman" w:cs="Times New Roman"/>
          <w:b w:val="0"/>
          <w:bCs w:val="0"/>
          <w:kern w:val="0"/>
          <w:position w:val="0"/>
          <w:sz w:val="32"/>
          <w:szCs w:val="32"/>
          <w:highlight w:val="none"/>
          <w:lang w:val="en-US" w:eastAsia="zh-CN" w:bidi="ar-SA"/>
        </w:rPr>
        <w:t>在</w:t>
      </w:r>
      <w:r>
        <w:rPr>
          <w:rFonts w:hint="default" w:ascii="Times New Roman" w:hAnsi="Times New Roman" w:eastAsia="仿宋_GB2312" w:cs="Times New Roman"/>
          <w:b w:val="0"/>
          <w:bCs w:val="0"/>
          <w:kern w:val="0"/>
          <w:position w:val="0"/>
          <w:sz w:val="32"/>
          <w:szCs w:val="32"/>
          <w:highlight w:val="none"/>
          <w:lang w:val="en" w:eastAsia="zh-CN" w:bidi="ar-SA"/>
        </w:rPr>
        <w:t>预算安排、完善政策、改进管理等方面的</w:t>
      </w:r>
      <w:r>
        <w:rPr>
          <w:rFonts w:hint="default" w:ascii="Times New Roman" w:hAnsi="Times New Roman" w:cs="Times New Roman"/>
          <w:b w:val="0"/>
          <w:bCs w:val="0"/>
          <w:kern w:val="2"/>
          <w:position w:val="0"/>
          <w:sz w:val="32"/>
          <w:szCs w:val="32"/>
          <w:highlight w:val="none"/>
          <w:lang w:val="en-US" w:eastAsia="zh-CN" w:bidi="ar-SA"/>
        </w:rPr>
        <w:t>措施</w:t>
      </w:r>
      <w:r>
        <w:rPr>
          <w:rFonts w:hint="default" w:ascii="Times New Roman" w:hAnsi="Times New Roman" w:eastAsia="仿宋_GB2312" w:cs="Times New Roman"/>
          <w:b w:val="0"/>
          <w:bCs w:val="0"/>
          <w:kern w:val="0"/>
          <w:position w:val="0"/>
          <w:sz w:val="32"/>
          <w:szCs w:val="32"/>
          <w:highlight w:val="none"/>
          <w:lang w:val="en" w:eastAsia="zh-CN" w:bidi="ar-SA"/>
        </w:rPr>
        <w:t>建议</w:t>
      </w:r>
      <w:r>
        <w:rPr>
          <w:rFonts w:hint="default" w:ascii="Times New Roman" w:hAnsi="Times New Roman" w:cs="Times New Roman"/>
          <w:b w:val="0"/>
          <w:bCs w:val="0"/>
          <w:kern w:val="0"/>
          <w:position w:val="0"/>
          <w:sz w:val="32"/>
          <w:szCs w:val="32"/>
          <w:highlight w:val="none"/>
          <w:lang w:val="en" w:eastAsia="zh-CN" w:bidi="ar-SA"/>
        </w:rPr>
        <w:t>，其中</w:t>
      </w:r>
      <w:r>
        <w:rPr>
          <w:rFonts w:hint="default" w:ascii="Times New Roman" w:hAnsi="Times New Roman" w:eastAsia="仿宋_GB2312" w:cs="Times New Roman"/>
          <w:b w:val="0"/>
          <w:bCs w:val="0"/>
          <w:kern w:val="0"/>
          <w:position w:val="0"/>
          <w:sz w:val="32"/>
          <w:szCs w:val="32"/>
          <w:highlight w:val="none"/>
          <w:lang w:val="en-US" w:eastAsia="zh-CN" w:bidi="ar-SA"/>
        </w:rPr>
        <w:t>必须</w:t>
      </w:r>
      <w:r>
        <w:rPr>
          <w:rFonts w:hint="default" w:ascii="Times New Roman" w:hAnsi="Times New Roman" w:cs="Times New Roman"/>
          <w:b w:val="0"/>
          <w:bCs w:val="0"/>
          <w:kern w:val="0"/>
          <w:position w:val="0"/>
          <w:sz w:val="32"/>
          <w:szCs w:val="32"/>
          <w:highlight w:val="none"/>
          <w:lang w:val="en-US" w:eastAsia="zh-CN" w:bidi="ar-SA"/>
        </w:rPr>
        <w:t>对应</w:t>
      </w:r>
      <w:r>
        <w:rPr>
          <w:rFonts w:hint="default" w:ascii="Times New Roman" w:hAnsi="Times New Roman" w:eastAsia="仿宋_GB2312" w:cs="Times New Roman"/>
          <w:b w:val="0"/>
          <w:bCs w:val="0"/>
          <w:kern w:val="0"/>
          <w:position w:val="0"/>
          <w:sz w:val="32"/>
          <w:szCs w:val="32"/>
          <w:highlight w:val="none"/>
          <w:lang w:val="en-US" w:eastAsia="zh-CN" w:bidi="ar-SA"/>
        </w:rPr>
        <w:t>评价发现的主要问题</w:t>
      </w:r>
      <w:r>
        <w:rPr>
          <w:rFonts w:hint="default" w:ascii="Times New Roman" w:hAnsi="Times New Roman" w:cs="Times New Roman"/>
          <w:b w:val="0"/>
          <w:bCs w:val="0"/>
          <w:kern w:val="0"/>
          <w:position w:val="0"/>
          <w:sz w:val="32"/>
          <w:szCs w:val="32"/>
          <w:highlight w:val="none"/>
          <w:lang w:val="en-US" w:eastAsia="zh-CN" w:bidi="ar-SA"/>
        </w:rPr>
        <w:t>一一提出措施建议。</w:t>
      </w:r>
    </w:p>
    <w:bookmarkEnd w:id="8"/>
    <w:p w14:paraId="460E3525">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zh-CN" w:eastAsia="zh-CN"/>
        </w:rPr>
      </w:pPr>
    </w:p>
    <w:p w14:paraId="3099DE1D">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附表：1.</w:t>
      </w:r>
      <w:r>
        <w:rPr>
          <w:rFonts w:hint="eastAsia" w:cs="Times New Roman"/>
          <w:color w:val="000000"/>
          <w:kern w:val="0"/>
          <w:szCs w:val="32"/>
          <w:highlight w:val="none"/>
          <w:shd w:val="clear" w:color="auto" w:fill="FFFFFF"/>
          <w:lang w:val="en-US" w:eastAsia="zh-CN"/>
        </w:rPr>
        <w:t>专项</w:t>
      </w:r>
      <w:r>
        <w:rPr>
          <w:rFonts w:hint="default" w:ascii="Times New Roman" w:hAnsi="Times New Roman" w:cs="Times New Roman"/>
          <w:color w:val="000000"/>
          <w:kern w:val="0"/>
          <w:szCs w:val="32"/>
          <w:highlight w:val="none"/>
          <w:shd w:val="clear" w:color="auto" w:fill="FFFFFF"/>
          <w:lang w:val="en-US" w:eastAsia="zh-CN"/>
        </w:rPr>
        <w:t>预算绩效自评打分表</w:t>
      </w:r>
    </w:p>
    <w:p w14:paraId="692376DE">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2.专项预算绩效自评实地踏勘点位清单表</w:t>
      </w:r>
    </w:p>
    <w:p w14:paraId="20C6A101">
      <w:pPr>
        <w:keepNext w:val="0"/>
        <w:keepLines w:val="0"/>
        <w:pageBreakBefore w:val="0"/>
        <w:kinsoku/>
        <w:wordWrap/>
        <w:overflowPunct/>
        <w:topLinePunct w:val="0"/>
        <w:autoSpaceDE/>
        <w:autoSpaceDN/>
        <w:bidi w:val="0"/>
        <w:adjustRightInd/>
        <w:snapToGrid w:val="0"/>
        <w:spacing w:line="578" w:lineRule="exact"/>
        <w:ind w:left="0" w:leftChars="0" w:firstLine="1600" w:firstLineChars="500"/>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color w:val="000000"/>
          <w:kern w:val="0"/>
          <w:szCs w:val="32"/>
          <w:highlight w:val="none"/>
          <w:shd w:val="clear" w:color="auto" w:fill="FFFFFF"/>
          <w:lang w:val="en-US" w:eastAsia="zh-CN"/>
        </w:rPr>
        <w:t>3.</w:t>
      </w:r>
      <w:r>
        <w:rPr>
          <w:rFonts w:hint="default" w:ascii="Times New Roman" w:hAnsi="Times New Roman" w:cs="Times New Roman"/>
          <w:color w:val="000000"/>
          <w:kern w:val="0"/>
          <w:szCs w:val="32"/>
          <w:highlight w:val="none"/>
          <w:shd w:val="clear" w:color="auto" w:fill="FFFFFF"/>
          <w:lang w:val="en-US" w:eastAsia="zh-CN"/>
        </w:rPr>
        <w:t>专项预算项目绩效目标完成情况自评表</w:t>
      </w:r>
    </w:p>
    <w:p w14:paraId="1726CAEB">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t>1</w:t>
      </w:r>
    </w:p>
    <w:p w14:paraId="4E42D0F8">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eastAsia" w:ascii="Times New Roman" w:hAnsi="Times New Roman" w:eastAsia="方正小标宋_GBK" w:cs="Times New Roman"/>
          <w:b w:val="0"/>
          <w:bCs w:val="0"/>
          <w:color w:val="auto"/>
          <w:sz w:val="40"/>
          <w:szCs w:val="40"/>
          <w:highlight w:val="none"/>
          <w:u w:val="none"/>
          <w:lang w:val="en-US" w:eastAsia="zh-CN"/>
        </w:rPr>
        <w:t>专项</w:t>
      </w:r>
      <w:r>
        <w:rPr>
          <w:rFonts w:hint="default" w:ascii="Times New Roman" w:hAnsi="Times New Roman" w:eastAsia="方正小标宋_GBK" w:cs="Times New Roman"/>
          <w:b w:val="0"/>
          <w:bCs w:val="0"/>
          <w:color w:val="auto"/>
          <w:sz w:val="40"/>
          <w:szCs w:val="40"/>
          <w:highlight w:val="none"/>
          <w:u w:val="none"/>
          <w:lang w:val="en-US" w:eastAsia="zh-CN"/>
        </w:rPr>
        <w:t>预算绩效自评打分表</w:t>
      </w:r>
    </w:p>
    <w:tbl>
      <w:tblPr>
        <w:tblStyle w:val="9"/>
        <w:tblW w:w="10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765"/>
        <w:gridCol w:w="825"/>
        <w:gridCol w:w="1355"/>
        <w:gridCol w:w="696"/>
        <w:gridCol w:w="5340"/>
        <w:gridCol w:w="732"/>
        <w:gridCol w:w="468"/>
      </w:tblGrid>
      <w:tr w14:paraId="41FE3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4361" w:type="dxa"/>
            <w:gridSpan w:val="5"/>
            <w:tcBorders>
              <w:top w:val="single" w:color="000000" w:sz="4" w:space="0"/>
              <w:left w:val="single" w:color="000000" w:sz="4" w:space="0"/>
              <w:bottom w:val="nil"/>
              <w:right w:val="nil"/>
            </w:tcBorders>
            <w:noWrap w:val="0"/>
            <w:vAlign w:val="center"/>
          </w:tcPr>
          <w:p w14:paraId="4AC35D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绩效评价指标</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C0B7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指标解释</w:t>
            </w:r>
          </w:p>
        </w:tc>
        <w:tc>
          <w:tcPr>
            <w:tcW w:w="732" w:type="dxa"/>
            <w:vMerge w:val="restart"/>
            <w:tcBorders>
              <w:top w:val="single" w:color="000000" w:sz="4" w:space="0"/>
              <w:left w:val="single" w:color="000000" w:sz="4" w:space="0"/>
              <w:right w:val="single" w:color="000000" w:sz="4" w:space="0"/>
            </w:tcBorders>
            <w:noWrap w:val="0"/>
            <w:vAlign w:val="center"/>
          </w:tcPr>
          <w:p w14:paraId="627A1F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自评得分</w:t>
            </w:r>
          </w:p>
        </w:tc>
        <w:tc>
          <w:tcPr>
            <w:tcW w:w="468" w:type="dxa"/>
            <w:vMerge w:val="restart"/>
            <w:tcBorders>
              <w:top w:val="single" w:color="000000" w:sz="4" w:space="0"/>
              <w:left w:val="single" w:color="000000" w:sz="4" w:space="0"/>
              <w:right w:val="single" w:color="000000" w:sz="4" w:space="0"/>
            </w:tcBorders>
            <w:noWrap w:val="0"/>
            <w:vAlign w:val="center"/>
          </w:tcPr>
          <w:p w14:paraId="7968CC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kern w:val="0"/>
                <w:sz w:val="24"/>
                <w:szCs w:val="24"/>
                <w:u w:val="none"/>
                <w:lang w:val="en-US" w:eastAsia="zh-CN" w:bidi="ar"/>
              </w:rPr>
            </w:pPr>
            <w:r>
              <w:rPr>
                <w:rFonts w:hint="eastAsia" w:ascii="黑体" w:hAnsi="宋体" w:eastAsia="黑体" w:cs="黑体"/>
                <w:i w:val="0"/>
                <w:color w:val="000000"/>
                <w:kern w:val="0"/>
                <w:sz w:val="24"/>
                <w:szCs w:val="24"/>
                <w:u w:val="none"/>
                <w:lang w:val="en-US" w:eastAsia="zh-CN" w:bidi="ar"/>
              </w:rPr>
              <w:t>备注</w:t>
            </w:r>
          </w:p>
        </w:tc>
      </w:tr>
      <w:tr w14:paraId="59B8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tcBorders>
              <w:top w:val="single" w:color="000000" w:sz="4" w:space="0"/>
              <w:left w:val="single" w:color="000000" w:sz="4" w:space="0"/>
              <w:bottom w:val="single" w:color="000000" w:sz="4" w:space="0"/>
              <w:right w:val="single" w:color="000000" w:sz="4" w:space="0"/>
            </w:tcBorders>
            <w:noWrap w:val="0"/>
            <w:vAlign w:val="center"/>
          </w:tcPr>
          <w:p w14:paraId="31317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一级指标</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383E2B4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二级指标</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6B0FF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三级指标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9025E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指标</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分值</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FCA8A3">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732" w:type="dxa"/>
            <w:vMerge w:val="continue"/>
            <w:tcBorders>
              <w:left w:val="single" w:color="000000" w:sz="4" w:space="0"/>
              <w:bottom w:val="single" w:color="000000" w:sz="4" w:space="0"/>
              <w:right w:val="single" w:color="000000" w:sz="4" w:space="0"/>
            </w:tcBorders>
            <w:noWrap w:val="0"/>
            <w:vAlign w:val="center"/>
          </w:tcPr>
          <w:p w14:paraId="1EE14B10">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c>
          <w:tcPr>
            <w:tcW w:w="468" w:type="dxa"/>
            <w:vMerge w:val="continue"/>
            <w:tcBorders>
              <w:left w:val="single" w:color="000000" w:sz="4" w:space="0"/>
              <w:bottom w:val="single" w:color="000000" w:sz="4" w:space="0"/>
              <w:right w:val="single" w:color="000000" w:sz="4" w:space="0"/>
            </w:tcBorders>
            <w:noWrap w:val="0"/>
            <w:vAlign w:val="center"/>
          </w:tcPr>
          <w:p w14:paraId="561A87B5">
            <w:pPr>
              <w:keepNext w:val="0"/>
              <w:keepLines w:val="0"/>
              <w:pageBreakBefore w:val="0"/>
              <w:widowControl/>
              <w:kinsoku/>
              <w:wordWrap/>
              <w:overflowPunct/>
              <w:topLinePunct w:val="0"/>
              <w:autoSpaceDE/>
              <w:autoSpaceDN/>
              <w:bidi w:val="0"/>
              <w:adjustRightInd/>
              <w:snapToGrid/>
              <w:spacing w:line="240" w:lineRule="exact"/>
              <w:jc w:val="center"/>
              <w:rPr>
                <w:rFonts w:hint="eastAsia" w:ascii="黑体" w:hAnsi="宋体" w:eastAsia="黑体" w:cs="黑体"/>
                <w:i w:val="0"/>
                <w:color w:val="000000"/>
                <w:sz w:val="24"/>
                <w:szCs w:val="24"/>
                <w:u w:val="none"/>
              </w:rPr>
            </w:pPr>
          </w:p>
        </w:tc>
      </w:tr>
      <w:tr w14:paraId="64716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5991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通用指标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（54分）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24A34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项目决策</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55353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决策程序</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475F9C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023D31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项目决策程序是否严密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D2044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6649A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0FF8B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806D1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589932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D82A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规划论证</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77607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28454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项目规划论证是否符合中省要求，项目绩效目标设置是否科学合理</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BB4D3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A91BC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24A2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280B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95ADF7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A541BD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资金投向</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ACFB5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36D8E0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项目资金是否与项目总体规划、相关行业事业发展相匹配，是否聚焦重大任务、重点领域、重点环节和重点项目</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5C010F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CCCBF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EC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3FE71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3AE8D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项目管理</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（18分）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3CDD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制度办法</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E8BA4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E82DD0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项目制度办法是否体系健全、要素完备</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0E624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521A8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8C3C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6C28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ED12A9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1D5ADB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分配管理</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E4A5BB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41C15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项目资金分配因素选取、权重设置、区域分布，项目管理、审批是否符合管理要求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2698E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7443F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3D56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0CB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B2A5DE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383D66C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绩效监管</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D1FAA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F0DD4E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管资金、项目、政策是否管绩效，项目绩效监管是否按要求开展，对下指导是否有力有效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FF0B04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980A9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F2C4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D9624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7DC4CE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项目实施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7927C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9701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DEB74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项目资金财政拨付、单位执行和地方配套到位情况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CD04C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CB0DC2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2A6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ECFEC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371051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E5158A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856FE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7B8A1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资金使用拨付、项目实施是否符合规定</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8A5778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CC7659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CD33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43490">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D2831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项目结果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（9分）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BC9BD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目标完成</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C5250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2C550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项目是否完成预期目标，实施结果是否与绩效目标相匹配，反映目标实现程度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D222C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0B8FE0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571F2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05024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3BD4562">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51E426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完成时效</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797A9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4119DA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项目实际完成时间与计划完成时间的比较</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2AE36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FF0EDD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4615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208D9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442275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产业发展</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7316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符合性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8513A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CBBFD2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项目实施是否与省委省政府支持重点、产业支持政策符合</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5C88E66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53D9BAD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3BCBE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AA7AD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98559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433C2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成长性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257C2E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7FC39F6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项目实施对相关企业（机构）成长性的促进作用，主要反映支持对象创新创造创业能力情况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61F49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7E7B74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71A5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96222F">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D84EBD">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A37EF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1C1F3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C54B0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项目实施对相关企业（机构）主营业务收入、净利润、税收、产量等方面增长情况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F23EA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45D8AC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D9C8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13179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B041A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民生保障</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801FA8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区域均衡性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1A95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13B8F6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项目资金分配体现的均衡公平情况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501099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20A69F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5B4E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4287D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6E3A32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718471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对象精准性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22A9C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6A958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资金实际支持对象是否符合管理要求，是否符合支持对象范围</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2F774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9A36CC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93A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D5D67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C75226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16699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标准合理性</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B5DE3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63F000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资金实际补贴标准是否符合资金管理办法规定的补助标准，是否及时按标准兑现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096836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EFEC71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5A2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0F649">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A3EBFBC">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D515D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群众满意度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E198DA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127326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资金涉及相关受益群体、支持对象的满意度调查访谈情况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1BC410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795383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FC4A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EFF78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restart"/>
            <w:tcBorders>
              <w:top w:val="single" w:color="000000" w:sz="4" w:space="0"/>
              <w:left w:val="single" w:color="000000" w:sz="4" w:space="0"/>
              <w:bottom w:val="single" w:color="000000" w:sz="4" w:space="0"/>
              <w:right w:val="single" w:color="000000" w:sz="4" w:space="0"/>
            </w:tcBorders>
            <w:noWrap w:val="0"/>
            <w:vAlign w:val="center"/>
          </w:tcPr>
          <w:p w14:paraId="36F032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基础</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设施</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DB6B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在建</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8B1DC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工程进度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AD995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399BF5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项目是否达到计划工程进度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8B62DE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784000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E6A3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9AFE0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57C2A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3315F6">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A2C01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资金拨付</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B709B1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E8FC41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项目是否达到预先确定的资金拨付进度</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0BA1A8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09D0E1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661A3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2C4C5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91E56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4CCB9B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建成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项目</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032F03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0FBF33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0D7B75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项目验收是否及时合格</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600355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6AD7F4C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5C68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402D03">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B2E5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F762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6BB0899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功能实现</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83160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EF5E40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项目经济社会功能是否实现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23312AA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FDD3F4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414A2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A0979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76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F32EE">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19957">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700CE25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后续管护</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3B392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64AC9A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项目后续维护是否实现</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C4903F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1601D6A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27113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85D397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专用指标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5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663E8C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行政运转</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（30分）</w:t>
            </w:r>
          </w:p>
        </w:tc>
        <w:tc>
          <w:tcPr>
            <w:tcW w:w="1355" w:type="dxa"/>
            <w:tcBorders>
              <w:top w:val="nil"/>
              <w:left w:val="single" w:color="000000" w:sz="4" w:space="0"/>
              <w:bottom w:val="single" w:color="000000" w:sz="4" w:space="0"/>
              <w:right w:val="single" w:color="000000" w:sz="4" w:space="0"/>
            </w:tcBorders>
            <w:noWrap w:val="0"/>
            <w:vAlign w:val="center"/>
          </w:tcPr>
          <w:p w14:paraId="2214A16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用途合规性</w:t>
            </w:r>
          </w:p>
        </w:tc>
        <w:tc>
          <w:tcPr>
            <w:tcW w:w="696" w:type="dxa"/>
            <w:tcBorders>
              <w:top w:val="nil"/>
              <w:left w:val="single" w:color="000000" w:sz="4" w:space="0"/>
              <w:bottom w:val="single" w:color="000000" w:sz="4" w:space="0"/>
              <w:right w:val="single" w:color="000000" w:sz="4" w:space="0"/>
            </w:tcBorders>
            <w:noWrap w:val="0"/>
            <w:vAlign w:val="center"/>
          </w:tcPr>
          <w:p w14:paraId="78A803E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nil"/>
              <w:left w:val="single" w:color="000000" w:sz="4" w:space="0"/>
              <w:bottom w:val="single" w:color="000000" w:sz="4" w:space="0"/>
              <w:right w:val="single" w:color="000000" w:sz="4" w:space="0"/>
            </w:tcBorders>
            <w:noWrap w:val="0"/>
            <w:vAlign w:val="center"/>
          </w:tcPr>
          <w:p w14:paraId="600B6C2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是否按规定用途、适用范围进行本地区专项资金分配</w:t>
            </w:r>
          </w:p>
        </w:tc>
        <w:tc>
          <w:tcPr>
            <w:tcW w:w="732" w:type="dxa"/>
            <w:tcBorders>
              <w:top w:val="nil"/>
              <w:left w:val="single" w:color="000000" w:sz="4" w:space="0"/>
              <w:bottom w:val="single" w:color="000000" w:sz="4" w:space="0"/>
              <w:right w:val="single" w:color="000000" w:sz="4" w:space="0"/>
            </w:tcBorders>
            <w:noWrap w:val="0"/>
            <w:vAlign w:val="center"/>
          </w:tcPr>
          <w:p w14:paraId="37AC3A9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nil"/>
              <w:left w:val="single" w:color="000000" w:sz="4" w:space="0"/>
              <w:bottom w:val="single" w:color="000000" w:sz="4" w:space="0"/>
              <w:right w:val="single" w:color="000000" w:sz="4" w:space="0"/>
            </w:tcBorders>
            <w:noWrap w:val="0"/>
            <w:vAlign w:val="center"/>
          </w:tcPr>
          <w:p w14:paraId="2AC76CD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B7F7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CEA6B4">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3B282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7CAF0E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程序合规性</w:t>
            </w:r>
          </w:p>
        </w:tc>
        <w:tc>
          <w:tcPr>
            <w:tcW w:w="696" w:type="dxa"/>
            <w:tcBorders>
              <w:top w:val="nil"/>
              <w:left w:val="single" w:color="000000" w:sz="4" w:space="0"/>
              <w:bottom w:val="single" w:color="000000" w:sz="4" w:space="0"/>
              <w:right w:val="single" w:color="000000" w:sz="4" w:space="0"/>
            </w:tcBorders>
            <w:noWrap w:val="0"/>
            <w:vAlign w:val="center"/>
          </w:tcPr>
          <w:p w14:paraId="015F337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2FF3984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资金管理程序是否符合专项资金管理要求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460E2CD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349CF35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202F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7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8FCC8">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59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D8D2A65">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nil"/>
              <w:left w:val="single" w:color="000000" w:sz="4" w:space="0"/>
              <w:bottom w:val="single" w:color="000000" w:sz="4" w:space="0"/>
              <w:right w:val="single" w:color="000000" w:sz="4" w:space="0"/>
            </w:tcBorders>
            <w:noWrap w:val="0"/>
            <w:vAlign w:val="center"/>
          </w:tcPr>
          <w:p w14:paraId="456006D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标准合规性</w:t>
            </w:r>
          </w:p>
        </w:tc>
        <w:tc>
          <w:tcPr>
            <w:tcW w:w="696" w:type="dxa"/>
            <w:tcBorders>
              <w:top w:val="nil"/>
              <w:left w:val="single" w:color="000000" w:sz="4" w:space="0"/>
              <w:bottom w:val="single" w:color="000000" w:sz="4" w:space="0"/>
              <w:right w:val="single" w:color="000000" w:sz="4" w:space="0"/>
            </w:tcBorders>
            <w:noWrap w:val="0"/>
            <w:vAlign w:val="center"/>
          </w:tcPr>
          <w:p w14:paraId="5015466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1CFB51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资金分配标准是否符合专项资金管理要求</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4CABC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99392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1D172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0FC7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个性指标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（16分）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18BD01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成果推广</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1B8C0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34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402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根据项目个性自行设定部分指标，反映该项指标执行完成情况。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1C149A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8</w:t>
            </w: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4FD572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r w14:paraId="7FD6D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9AA4DCA">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2BB681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03423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5FD94E">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7554A86C">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08873164">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74B07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DEA6EFB">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b/>
                <w:i w:val="0"/>
                <w:color w:val="000000"/>
                <w:sz w:val="24"/>
                <w:szCs w:val="24"/>
                <w:u w:val="none"/>
              </w:rPr>
            </w:pP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501411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DBD8C8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955A59">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7359AE2">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7F1C72DF">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14:paraId="63CD2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noWrap w:val="0"/>
            <w:vAlign w:val="center"/>
          </w:tcPr>
          <w:p w14:paraId="10C35B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扣分项</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（10分）</w:t>
            </w:r>
          </w:p>
        </w:tc>
        <w:tc>
          <w:tcPr>
            <w:tcW w:w="1355" w:type="dxa"/>
            <w:tcBorders>
              <w:top w:val="single" w:color="000000" w:sz="4" w:space="0"/>
              <w:left w:val="single" w:color="000000" w:sz="4" w:space="0"/>
              <w:bottom w:val="single" w:color="000000" w:sz="4" w:space="0"/>
              <w:right w:val="single" w:color="000000" w:sz="4" w:space="0"/>
            </w:tcBorders>
            <w:noWrap w:val="0"/>
            <w:vAlign w:val="center"/>
          </w:tcPr>
          <w:p w14:paraId="4A2DB4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部门配合度</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EAFD9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340" w:type="dxa"/>
            <w:tcBorders>
              <w:top w:val="single" w:color="000000" w:sz="4" w:space="0"/>
              <w:left w:val="single" w:color="000000" w:sz="4" w:space="0"/>
              <w:bottom w:val="single" w:color="000000" w:sz="4" w:space="0"/>
              <w:right w:val="single" w:color="000000" w:sz="4" w:space="0"/>
            </w:tcBorders>
            <w:noWrap w:val="0"/>
            <w:vAlign w:val="center"/>
          </w:tcPr>
          <w:p w14:paraId="5A82D7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被评价对象工作配合情况</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14:paraId="30D4CF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c>
          <w:tcPr>
            <w:tcW w:w="468" w:type="dxa"/>
            <w:tcBorders>
              <w:top w:val="single" w:color="000000" w:sz="4" w:space="0"/>
              <w:left w:val="single" w:color="000000" w:sz="4" w:space="0"/>
              <w:bottom w:val="single" w:color="000000" w:sz="4" w:space="0"/>
              <w:right w:val="single" w:color="000000" w:sz="4" w:space="0"/>
            </w:tcBorders>
            <w:noWrap w:val="0"/>
            <w:vAlign w:val="center"/>
          </w:tcPr>
          <w:p w14:paraId="23F2B94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4"/>
                <w:szCs w:val="24"/>
                <w:u w:val="none"/>
                <w:lang w:val="en-US" w:eastAsia="zh-CN" w:bidi="ar"/>
              </w:rPr>
            </w:pPr>
          </w:p>
        </w:tc>
      </w:tr>
    </w:tbl>
    <w:p w14:paraId="647A7921">
      <w:pPr>
        <w:keepNext w:val="0"/>
        <w:keepLines w:val="0"/>
        <w:pageBreakBefore w:val="0"/>
        <w:kinsoku/>
        <w:wordWrap/>
        <w:overflowPunct/>
        <w:topLinePunct w:val="0"/>
        <w:autoSpaceDE/>
        <w:autoSpaceDN/>
        <w:bidi w:val="0"/>
        <w:spacing w:line="578" w:lineRule="exact"/>
        <w:ind w:left="0" w:leftChars="0"/>
        <w:jc w:val="both"/>
        <w:textAlignment w:val="auto"/>
        <w:rPr>
          <w:rFonts w:hint="default"/>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ascii="Times New Roman" w:hAnsi="Times New Roman" w:cs="Times New Roman"/>
          <w:b w:val="0"/>
          <w:bCs w:val="0"/>
          <w:color w:val="auto"/>
          <w:kern w:val="0"/>
          <w:sz w:val="32"/>
          <w:szCs w:val="32"/>
          <w:highlight w:val="none"/>
          <w:u w:val="none"/>
          <w:shd w:val="clear" w:color="auto" w:fill="FFFFFF"/>
          <w:lang w:val="en-US" w:eastAsia="zh-CN"/>
        </w:rPr>
        <w:t>2</w:t>
      </w:r>
    </w:p>
    <w:p w14:paraId="4922DA33">
      <w:pPr>
        <w:keepNext w:val="0"/>
        <w:keepLines w:val="0"/>
        <w:pageBreakBefore w:val="0"/>
        <w:kinsoku/>
        <w:wordWrap/>
        <w:overflowPunct/>
        <w:topLinePunct w:val="0"/>
        <w:autoSpaceDE/>
        <w:autoSpaceDN/>
        <w:bidi w:val="0"/>
        <w:spacing w:line="578" w:lineRule="exact"/>
        <w:ind w:left="0" w:leftChars="0"/>
        <w:jc w:val="center"/>
        <w:textAlignment w:val="auto"/>
        <w:rPr>
          <w:rFonts w:hint="default" w:ascii="Times New Roman" w:hAnsi="Times New Roman" w:eastAsia="方正小标宋_GBK" w:cs="Times New Roman"/>
          <w:b w:val="0"/>
          <w:bCs w:val="0"/>
          <w:color w:val="auto"/>
          <w:sz w:val="40"/>
          <w:szCs w:val="40"/>
          <w:highlight w:val="none"/>
          <w:u w:val="none"/>
          <w:lang w:val="en-US" w:eastAsia="zh-CN"/>
        </w:rPr>
      </w:pPr>
      <w:r>
        <w:rPr>
          <w:rFonts w:hint="default" w:ascii="Times New Roman" w:hAnsi="Times New Roman" w:eastAsia="方正小标宋_GBK" w:cs="Times New Roman"/>
          <w:b w:val="0"/>
          <w:bCs w:val="0"/>
          <w:color w:val="auto"/>
          <w:sz w:val="40"/>
          <w:szCs w:val="40"/>
          <w:highlight w:val="none"/>
          <w:u w:val="none"/>
          <w:lang w:val="en-US" w:eastAsia="zh-CN"/>
        </w:rPr>
        <w:t>专项预算绩效自评实地踏勘点位清单表</w:t>
      </w:r>
    </w:p>
    <w:p w14:paraId="419406C5">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楷体_GB2312" w:hAnsi="楷体_GB2312" w:eastAsia="楷体_GB2312" w:cs="楷体_GB2312"/>
          <w:b w:val="0"/>
          <w:bCs w:val="0"/>
          <w:color w:val="auto"/>
          <w:sz w:val="28"/>
          <w:szCs w:val="28"/>
          <w:highlight w:val="none"/>
          <w:u w:val="none"/>
          <w:lang w:val="en-US" w:eastAsia="zh-CN"/>
        </w:rPr>
      </w:pPr>
      <w:r>
        <w:rPr>
          <w:rFonts w:hint="eastAsia" w:ascii="楷体_GB2312" w:hAnsi="楷体_GB2312" w:eastAsia="楷体_GB2312" w:cs="楷体_GB2312"/>
          <w:b w:val="0"/>
          <w:bCs w:val="0"/>
          <w:color w:val="auto"/>
          <w:sz w:val="28"/>
          <w:szCs w:val="28"/>
          <w:highlight w:val="none"/>
          <w:u w:val="none"/>
          <w:lang w:val="en-US" w:eastAsia="zh-CN"/>
        </w:rPr>
        <w:t>（例表）</w:t>
      </w:r>
    </w:p>
    <w:tbl>
      <w:tblPr>
        <w:tblStyle w:val="10"/>
        <w:tblW w:w="7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5956"/>
        <w:gridCol w:w="905"/>
      </w:tblGrid>
      <w:tr w14:paraId="0CC59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DC352E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序号</w:t>
            </w:r>
          </w:p>
        </w:tc>
        <w:tc>
          <w:tcPr>
            <w:tcW w:w="5956" w:type="dxa"/>
            <w:noWrap w:val="0"/>
            <w:vAlign w:val="top"/>
          </w:tcPr>
          <w:p w14:paraId="5843048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实地踏勘点位</w:t>
            </w:r>
          </w:p>
        </w:tc>
        <w:tc>
          <w:tcPr>
            <w:tcW w:w="905" w:type="dxa"/>
            <w:noWrap w:val="0"/>
            <w:vAlign w:val="top"/>
          </w:tcPr>
          <w:p w14:paraId="66BD94A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黑体" w:cs="Times New Roman"/>
                <w:b w:val="0"/>
                <w:bCs w:val="0"/>
                <w:color w:val="auto"/>
                <w:sz w:val="24"/>
                <w:szCs w:val="24"/>
                <w:highlight w:val="none"/>
                <w:u w:val="none"/>
                <w:vertAlign w:val="baseline"/>
                <w:lang w:val="en-US" w:eastAsia="zh-CN"/>
              </w:rPr>
            </w:pPr>
            <w:r>
              <w:rPr>
                <w:rFonts w:hint="default" w:ascii="Times New Roman" w:hAnsi="Times New Roman" w:eastAsia="黑体" w:cs="Times New Roman"/>
                <w:b w:val="0"/>
                <w:bCs w:val="0"/>
                <w:color w:val="auto"/>
                <w:sz w:val="24"/>
                <w:szCs w:val="24"/>
                <w:highlight w:val="none"/>
                <w:u w:val="none"/>
                <w:vertAlign w:val="baseline"/>
                <w:lang w:val="en-US" w:eastAsia="zh-CN"/>
              </w:rPr>
              <w:t>备注</w:t>
            </w:r>
          </w:p>
        </w:tc>
      </w:tr>
      <w:tr w14:paraId="355D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CB8409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1</w:t>
            </w:r>
          </w:p>
        </w:tc>
        <w:tc>
          <w:tcPr>
            <w:tcW w:w="5956" w:type="dxa"/>
            <w:noWrap w:val="0"/>
            <w:vAlign w:val="top"/>
          </w:tcPr>
          <w:p w14:paraId="7AFA430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阿坝州</w:t>
            </w:r>
            <w:r>
              <w:rPr>
                <w:rFonts w:hint="default" w:ascii="Times New Roman" w:hAnsi="Times New Roman" w:cs="Times New Roman"/>
                <w:color w:val="auto"/>
                <w:sz w:val="24"/>
                <w:szCs w:val="24"/>
                <w:highlight w:val="none"/>
                <w:u w:val="none"/>
                <w:vertAlign w:val="baseline"/>
                <w:lang w:val="en" w:eastAsia="zh-CN"/>
              </w:rPr>
              <w:t>本级</w:t>
            </w:r>
          </w:p>
        </w:tc>
        <w:tc>
          <w:tcPr>
            <w:tcW w:w="905" w:type="dxa"/>
            <w:noWrap w:val="0"/>
            <w:vAlign w:val="top"/>
          </w:tcPr>
          <w:p w14:paraId="1A7D7EC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353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4546D96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2</w:t>
            </w:r>
          </w:p>
        </w:tc>
        <w:tc>
          <w:tcPr>
            <w:tcW w:w="5956" w:type="dxa"/>
            <w:noWrap w:val="0"/>
            <w:vAlign w:val="top"/>
          </w:tcPr>
          <w:p w14:paraId="6F6F5F3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马尔康市</w:t>
            </w:r>
          </w:p>
        </w:tc>
        <w:tc>
          <w:tcPr>
            <w:tcW w:w="905" w:type="dxa"/>
            <w:noWrap w:val="0"/>
            <w:vAlign w:val="top"/>
          </w:tcPr>
          <w:p w14:paraId="767CF866">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2723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CCF8D5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3</w:t>
            </w:r>
          </w:p>
        </w:tc>
        <w:tc>
          <w:tcPr>
            <w:tcW w:w="5956" w:type="dxa"/>
            <w:noWrap w:val="0"/>
            <w:vAlign w:val="top"/>
          </w:tcPr>
          <w:p w14:paraId="41AFB79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阿坝县</w:t>
            </w:r>
          </w:p>
        </w:tc>
        <w:tc>
          <w:tcPr>
            <w:tcW w:w="905" w:type="dxa"/>
            <w:noWrap w:val="0"/>
            <w:vAlign w:val="top"/>
          </w:tcPr>
          <w:p w14:paraId="612F0D5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004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3B28FAC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4</w:t>
            </w:r>
          </w:p>
        </w:tc>
        <w:tc>
          <w:tcPr>
            <w:tcW w:w="5956" w:type="dxa"/>
            <w:noWrap w:val="0"/>
            <w:vAlign w:val="top"/>
          </w:tcPr>
          <w:p w14:paraId="5F73F5A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若尔盖县</w:t>
            </w:r>
          </w:p>
        </w:tc>
        <w:tc>
          <w:tcPr>
            <w:tcW w:w="905" w:type="dxa"/>
            <w:noWrap w:val="0"/>
            <w:vAlign w:val="top"/>
          </w:tcPr>
          <w:p w14:paraId="03C4ECC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77C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6A3F5B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5</w:t>
            </w:r>
          </w:p>
        </w:tc>
        <w:tc>
          <w:tcPr>
            <w:tcW w:w="5956" w:type="dxa"/>
            <w:noWrap w:val="0"/>
            <w:vAlign w:val="top"/>
          </w:tcPr>
          <w:p w14:paraId="5B843D5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黑水县</w:t>
            </w:r>
          </w:p>
        </w:tc>
        <w:tc>
          <w:tcPr>
            <w:tcW w:w="905" w:type="dxa"/>
            <w:noWrap w:val="0"/>
            <w:vAlign w:val="top"/>
          </w:tcPr>
          <w:p w14:paraId="535B77F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8B8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8EF39F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6</w:t>
            </w:r>
          </w:p>
        </w:tc>
        <w:tc>
          <w:tcPr>
            <w:tcW w:w="5956" w:type="dxa"/>
            <w:noWrap w:val="0"/>
            <w:vAlign w:val="top"/>
          </w:tcPr>
          <w:p w14:paraId="5729B76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松潘县</w:t>
            </w:r>
          </w:p>
        </w:tc>
        <w:tc>
          <w:tcPr>
            <w:tcW w:w="905" w:type="dxa"/>
            <w:noWrap w:val="0"/>
            <w:vAlign w:val="top"/>
          </w:tcPr>
          <w:p w14:paraId="2A6E6AC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84F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1D143BE">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7</w:t>
            </w:r>
          </w:p>
        </w:tc>
        <w:tc>
          <w:tcPr>
            <w:tcW w:w="5956" w:type="dxa"/>
            <w:noWrap w:val="0"/>
            <w:vAlign w:val="top"/>
          </w:tcPr>
          <w:p w14:paraId="5B1FC04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US" w:eastAsia="zh-CN"/>
              </w:rPr>
              <w:t>阿坝州本级XX项目</w:t>
            </w:r>
          </w:p>
        </w:tc>
        <w:tc>
          <w:tcPr>
            <w:tcW w:w="905" w:type="dxa"/>
            <w:noWrap w:val="0"/>
            <w:vAlign w:val="top"/>
          </w:tcPr>
          <w:p w14:paraId="06071038">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B25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6C07C9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b w:val="0"/>
                <w:bCs w:val="0"/>
                <w:color w:val="auto"/>
                <w:sz w:val="24"/>
                <w:szCs w:val="24"/>
                <w:highlight w:val="none"/>
                <w:u w:val="none"/>
                <w:lang w:val="en-US" w:eastAsia="zh-CN"/>
              </w:rPr>
            </w:pPr>
            <w:r>
              <w:rPr>
                <w:rFonts w:hint="default" w:ascii="Times New Roman" w:hAnsi="Times New Roman" w:eastAsia="宋体" w:cs="Times New Roman"/>
                <w:b w:val="0"/>
                <w:bCs w:val="0"/>
                <w:color w:val="auto"/>
                <w:sz w:val="24"/>
                <w:szCs w:val="24"/>
                <w:highlight w:val="none"/>
                <w:u w:val="none"/>
                <w:lang w:val="en-US" w:eastAsia="zh-CN"/>
              </w:rPr>
              <w:t>8</w:t>
            </w:r>
          </w:p>
        </w:tc>
        <w:tc>
          <w:tcPr>
            <w:tcW w:w="5956" w:type="dxa"/>
            <w:noWrap w:val="0"/>
            <w:vAlign w:val="top"/>
          </w:tcPr>
          <w:p w14:paraId="597D299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US" w:eastAsia="zh-CN"/>
              </w:rPr>
            </w:pPr>
            <w:r>
              <w:rPr>
                <w:rFonts w:hint="eastAsia" w:cs="Times New Roman"/>
                <w:color w:val="auto"/>
                <w:sz w:val="24"/>
                <w:szCs w:val="24"/>
                <w:highlight w:val="none"/>
                <w:u w:val="none"/>
                <w:vertAlign w:val="baseline"/>
                <w:lang w:val="en" w:eastAsia="zh-CN"/>
              </w:rPr>
              <w:t>马尔康市</w:t>
            </w:r>
            <w:r>
              <w:rPr>
                <w:rFonts w:hint="eastAsia" w:cs="Times New Roman"/>
                <w:color w:val="auto"/>
                <w:sz w:val="24"/>
                <w:szCs w:val="24"/>
                <w:highlight w:val="none"/>
                <w:u w:val="none"/>
                <w:vertAlign w:val="baseline"/>
                <w:lang w:val="en-US" w:eastAsia="zh-CN"/>
              </w:rPr>
              <w:t>XX项目</w:t>
            </w:r>
          </w:p>
        </w:tc>
        <w:tc>
          <w:tcPr>
            <w:tcW w:w="905" w:type="dxa"/>
            <w:noWrap w:val="0"/>
            <w:vAlign w:val="top"/>
          </w:tcPr>
          <w:p w14:paraId="1478B95C">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95F6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ABD6E9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9</w:t>
            </w:r>
          </w:p>
        </w:tc>
        <w:tc>
          <w:tcPr>
            <w:tcW w:w="5956" w:type="dxa"/>
            <w:noWrap w:val="0"/>
            <w:vAlign w:val="top"/>
          </w:tcPr>
          <w:p w14:paraId="5F5127E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US" w:eastAsia="zh-CN"/>
              </w:rPr>
              <w:t>阿坝县XX项目</w:t>
            </w:r>
          </w:p>
        </w:tc>
        <w:tc>
          <w:tcPr>
            <w:tcW w:w="905" w:type="dxa"/>
            <w:noWrap w:val="0"/>
            <w:vAlign w:val="top"/>
          </w:tcPr>
          <w:p w14:paraId="0C1CA5AB">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6DF4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A4EEDE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10</w:t>
            </w:r>
          </w:p>
        </w:tc>
        <w:tc>
          <w:tcPr>
            <w:tcW w:w="5956" w:type="dxa"/>
            <w:noWrap w:val="0"/>
            <w:vAlign w:val="top"/>
          </w:tcPr>
          <w:p w14:paraId="56A59CB3">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松潘县XX项目</w:t>
            </w:r>
          </w:p>
        </w:tc>
        <w:tc>
          <w:tcPr>
            <w:tcW w:w="905" w:type="dxa"/>
            <w:noWrap w:val="0"/>
            <w:vAlign w:val="top"/>
          </w:tcPr>
          <w:p w14:paraId="1D705DC1">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5548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101FCAF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11</w:t>
            </w:r>
          </w:p>
        </w:tc>
        <w:tc>
          <w:tcPr>
            <w:tcW w:w="5956" w:type="dxa"/>
            <w:noWrap w:val="0"/>
            <w:vAlign w:val="top"/>
          </w:tcPr>
          <w:p w14:paraId="3E5A93C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76F8E7D5">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F88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F15317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12</w:t>
            </w:r>
          </w:p>
        </w:tc>
        <w:tc>
          <w:tcPr>
            <w:tcW w:w="5956" w:type="dxa"/>
            <w:noWrap w:val="0"/>
            <w:vAlign w:val="top"/>
          </w:tcPr>
          <w:p w14:paraId="2C0BF89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1EE5EADA">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80A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35AF73C">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13</w:t>
            </w:r>
          </w:p>
        </w:tc>
        <w:tc>
          <w:tcPr>
            <w:tcW w:w="5956" w:type="dxa"/>
            <w:noWrap w:val="0"/>
            <w:vAlign w:val="top"/>
          </w:tcPr>
          <w:p w14:paraId="4709CE92">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阿坝县XX单位</w:t>
            </w:r>
          </w:p>
        </w:tc>
        <w:tc>
          <w:tcPr>
            <w:tcW w:w="905" w:type="dxa"/>
            <w:noWrap w:val="0"/>
            <w:vAlign w:val="top"/>
          </w:tcPr>
          <w:p w14:paraId="59DD003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1AEE8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699D933D">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14</w:t>
            </w:r>
          </w:p>
        </w:tc>
        <w:tc>
          <w:tcPr>
            <w:tcW w:w="5956" w:type="dxa"/>
            <w:noWrap w:val="0"/>
            <w:vAlign w:val="top"/>
          </w:tcPr>
          <w:p w14:paraId="16AC7B56">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马尔康市XX单位</w:t>
            </w:r>
          </w:p>
        </w:tc>
        <w:tc>
          <w:tcPr>
            <w:tcW w:w="905" w:type="dxa"/>
            <w:noWrap w:val="0"/>
            <w:vAlign w:val="top"/>
          </w:tcPr>
          <w:p w14:paraId="4693BC67">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38B9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968E43A">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15</w:t>
            </w:r>
          </w:p>
        </w:tc>
        <w:tc>
          <w:tcPr>
            <w:tcW w:w="5956" w:type="dxa"/>
            <w:noWrap w:val="0"/>
            <w:vAlign w:val="top"/>
          </w:tcPr>
          <w:p w14:paraId="3460C787">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松潘县XX单位</w:t>
            </w:r>
          </w:p>
        </w:tc>
        <w:tc>
          <w:tcPr>
            <w:tcW w:w="905" w:type="dxa"/>
            <w:noWrap w:val="0"/>
            <w:vAlign w:val="top"/>
          </w:tcPr>
          <w:p w14:paraId="26F66A34">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7271F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24BA78F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16</w:t>
            </w:r>
          </w:p>
        </w:tc>
        <w:tc>
          <w:tcPr>
            <w:tcW w:w="5956" w:type="dxa"/>
            <w:noWrap w:val="0"/>
            <w:vAlign w:val="top"/>
          </w:tcPr>
          <w:p w14:paraId="5D6B1D5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p>
        </w:tc>
        <w:tc>
          <w:tcPr>
            <w:tcW w:w="905" w:type="dxa"/>
            <w:noWrap w:val="0"/>
            <w:vAlign w:val="top"/>
          </w:tcPr>
          <w:p w14:paraId="3821626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993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7600F804">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17</w:t>
            </w:r>
          </w:p>
        </w:tc>
        <w:tc>
          <w:tcPr>
            <w:tcW w:w="5956" w:type="dxa"/>
            <w:noWrap w:val="0"/>
            <w:vAlign w:val="top"/>
          </w:tcPr>
          <w:p w14:paraId="382F9FE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茂县XX公司</w:t>
            </w:r>
          </w:p>
        </w:tc>
        <w:tc>
          <w:tcPr>
            <w:tcW w:w="905" w:type="dxa"/>
            <w:noWrap w:val="0"/>
            <w:vAlign w:val="top"/>
          </w:tcPr>
          <w:p w14:paraId="47F6F63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4F0B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5F7E01A0">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18</w:t>
            </w:r>
          </w:p>
        </w:tc>
        <w:tc>
          <w:tcPr>
            <w:tcW w:w="5956" w:type="dxa"/>
            <w:noWrap w:val="0"/>
            <w:vAlign w:val="top"/>
          </w:tcPr>
          <w:p w14:paraId="708480A5">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仿宋_GB2312" w:cs="Times New Roman"/>
                <w:color w:val="auto"/>
                <w:kern w:val="2"/>
                <w:sz w:val="24"/>
                <w:szCs w:val="24"/>
                <w:highlight w:val="none"/>
                <w:u w:val="none"/>
                <w:vertAlign w:val="baseline"/>
                <w:lang w:val="en" w:eastAsia="zh-CN" w:bidi="ar-SA"/>
              </w:rPr>
            </w:pPr>
            <w:r>
              <w:rPr>
                <w:rFonts w:hint="eastAsia" w:cs="Times New Roman"/>
                <w:color w:val="auto"/>
                <w:sz w:val="24"/>
                <w:szCs w:val="24"/>
                <w:highlight w:val="none"/>
                <w:u w:val="none"/>
                <w:vertAlign w:val="baseline"/>
                <w:lang w:val="en-US" w:eastAsia="zh-CN"/>
              </w:rPr>
              <w:t>汶川县XX公司</w:t>
            </w:r>
          </w:p>
        </w:tc>
        <w:tc>
          <w:tcPr>
            <w:tcW w:w="905" w:type="dxa"/>
            <w:noWrap w:val="0"/>
            <w:vAlign w:val="top"/>
          </w:tcPr>
          <w:p w14:paraId="7432D86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6523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2239CD8">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19</w:t>
            </w:r>
          </w:p>
        </w:tc>
        <w:tc>
          <w:tcPr>
            <w:tcW w:w="5956" w:type="dxa"/>
            <w:noWrap w:val="0"/>
            <w:vAlign w:val="top"/>
          </w:tcPr>
          <w:p w14:paraId="495625FF">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cs="Times New Roman"/>
                <w:color w:val="auto"/>
                <w:sz w:val="24"/>
                <w:szCs w:val="24"/>
                <w:highlight w:val="none"/>
                <w:u w:val="none"/>
                <w:vertAlign w:val="baseline"/>
                <w:lang w:val="en" w:eastAsia="zh-CN"/>
              </w:rPr>
            </w:pPr>
            <w:r>
              <w:rPr>
                <w:rFonts w:hint="eastAsia" w:cs="Times New Roman"/>
                <w:color w:val="auto"/>
                <w:sz w:val="24"/>
                <w:szCs w:val="24"/>
                <w:highlight w:val="none"/>
                <w:u w:val="none"/>
                <w:vertAlign w:val="baseline"/>
                <w:lang w:val="en" w:eastAsia="zh-CN"/>
              </w:rPr>
              <w:t>……</w:t>
            </w:r>
          </w:p>
        </w:tc>
        <w:tc>
          <w:tcPr>
            <w:tcW w:w="905" w:type="dxa"/>
            <w:noWrap w:val="0"/>
            <w:vAlign w:val="top"/>
          </w:tcPr>
          <w:p w14:paraId="1E1EA009">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r w14:paraId="0EC4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jc w:val="center"/>
        </w:trPr>
        <w:tc>
          <w:tcPr>
            <w:tcW w:w="1123" w:type="dxa"/>
            <w:noWrap w:val="0"/>
            <w:vAlign w:val="top"/>
          </w:tcPr>
          <w:p w14:paraId="0170E0AB">
            <w:pPr>
              <w:keepNext w:val="0"/>
              <w:keepLines w:val="0"/>
              <w:pageBreakBefore w:val="0"/>
              <w:widowControl w:val="0"/>
              <w:kinsoku/>
              <w:wordWrap/>
              <w:overflowPunct/>
              <w:topLinePunct w:val="0"/>
              <w:autoSpaceDE/>
              <w:autoSpaceDN/>
              <w:bidi w:val="0"/>
              <w:adjustRightInd/>
              <w:snapToGrid/>
              <w:spacing w:line="300" w:lineRule="exact"/>
              <w:ind w:left="0" w:leftChars="0"/>
              <w:jc w:val="center"/>
              <w:textAlignment w:val="auto"/>
              <w:outlineLvl w:val="9"/>
              <w:rPr>
                <w:rFonts w:hint="default" w:ascii="Times New Roman" w:hAnsi="Times New Roman" w:eastAsia="宋体" w:cs="Times New Roman"/>
                <w:color w:val="auto"/>
                <w:sz w:val="24"/>
                <w:szCs w:val="24"/>
                <w:highlight w:val="none"/>
                <w:u w:val="none"/>
                <w:lang w:val="en-US" w:eastAsia="zh-CN"/>
              </w:rPr>
            </w:pPr>
            <w:r>
              <w:rPr>
                <w:rFonts w:hint="default" w:ascii="Times New Roman" w:hAnsi="Times New Roman" w:eastAsia="宋体" w:cs="Times New Roman"/>
                <w:color w:val="auto"/>
                <w:sz w:val="24"/>
                <w:szCs w:val="24"/>
                <w:highlight w:val="none"/>
                <w:u w:val="none"/>
                <w:lang w:val="en-US" w:eastAsia="zh-CN"/>
              </w:rPr>
              <w:t>20</w:t>
            </w:r>
          </w:p>
        </w:tc>
        <w:tc>
          <w:tcPr>
            <w:tcW w:w="5956" w:type="dxa"/>
            <w:noWrap w:val="0"/>
            <w:vAlign w:val="top"/>
          </w:tcPr>
          <w:p w14:paraId="75BC623D">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 w:eastAsia="zh-CN"/>
              </w:rPr>
            </w:pPr>
          </w:p>
        </w:tc>
        <w:tc>
          <w:tcPr>
            <w:tcW w:w="905" w:type="dxa"/>
            <w:noWrap w:val="0"/>
            <w:vAlign w:val="top"/>
          </w:tcPr>
          <w:p w14:paraId="52758ED3">
            <w:pPr>
              <w:keepNext w:val="0"/>
              <w:keepLines w:val="0"/>
              <w:pageBreakBefore w:val="0"/>
              <w:widowControl w:val="0"/>
              <w:kinsoku/>
              <w:wordWrap/>
              <w:overflowPunct/>
              <w:topLinePunct w:val="0"/>
              <w:autoSpaceDE/>
              <w:autoSpaceDN/>
              <w:bidi w:val="0"/>
              <w:adjustRightInd/>
              <w:snapToGrid/>
              <w:spacing w:line="300" w:lineRule="exact"/>
              <w:ind w:left="0" w:leftChars="0"/>
              <w:textAlignment w:val="auto"/>
              <w:outlineLvl w:val="9"/>
              <w:rPr>
                <w:rFonts w:hint="default" w:ascii="Times New Roman" w:hAnsi="Times New Roman" w:cs="Times New Roman"/>
                <w:color w:val="auto"/>
                <w:sz w:val="24"/>
                <w:szCs w:val="24"/>
                <w:highlight w:val="none"/>
                <w:u w:val="none"/>
                <w:vertAlign w:val="baseline"/>
                <w:lang w:val="en-US" w:eastAsia="zh-CN"/>
              </w:rPr>
            </w:pPr>
          </w:p>
        </w:tc>
      </w:tr>
    </w:tbl>
    <w:p w14:paraId="4F26DC4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b w:val="0"/>
          <w:bCs w:val="0"/>
          <w:color w:val="auto"/>
          <w:sz w:val="21"/>
          <w:szCs w:val="21"/>
          <w:highlight w:val="none"/>
          <w:u w:val="none"/>
          <w:vertAlign w:val="baseline"/>
          <w:lang w:val="en-US" w:eastAsia="zh-CN"/>
        </w:rPr>
      </w:pPr>
      <w:r>
        <w:rPr>
          <w:rFonts w:hint="default" w:ascii="Times New Roman" w:hAnsi="Times New Roman" w:eastAsia="宋体" w:cs="Times New Roman"/>
          <w:b w:val="0"/>
          <w:bCs w:val="0"/>
          <w:color w:val="auto"/>
          <w:sz w:val="21"/>
          <w:szCs w:val="21"/>
          <w:highlight w:val="none"/>
          <w:u w:val="none"/>
          <w:vertAlign w:val="baseline"/>
          <w:lang w:val="en-US" w:eastAsia="zh-CN"/>
        </w:rPr>
        <w:t>备注：项目</w:t>
      </w:r>
      <w:r>
        <w:rPr>
          <w:rFonts w:hint="eastAsia" w:eastAsia="宋体" w:cs="Times New Roman"/>
          <w:b w:val="0"/>
          <w:bCs w:val="0"/>
          <w:color w:val="auto"/>
          <w:sz w:val="21"/>
          <w:szCs w:val="21"/>
          <w:highlight w:val="none"/>
          <w:u w:val="none"/>
          <w:vertAlign w:val="baseline"/>
          <w:lang w:val="en-US" w:eastAsia="zh-CN"/>
        </w:rPr>
        <w:t>实地踏勘</w:t>
      </w:r>
      <w:r>
        <w:rPr>
          <w:rFonts w:hint="default" w:ascii="Times New Roman" w:hAnsi="Times New Roman" w:eastAsia="宋体" w:cs="Times New Roman"/>
          <w:b w:val="0"/>
          <w:bCs w:val="0"/>
          <w:color w:val="auto"/>
          <w:sz w:val="21"/>
          <w:szCs w:val="21"/>
          <w:highlight w:val="none"/>
          <w:u w:val="none"/>
          <w:vertAlign w:val="baseline"/>
          <w:lang w:val="en-US" w:eastAsia="zh-CN"/>
        </w:rPr>
        <w:t>点位包括市（州）本级、县（市、区）</w:t>
      </w:r>
      <w:r>
        <w:rPr>
          <w:rFonts w:hint="eastAsia" w:eastAsia="宋体" w:cs="Times New Roman"/>
          <w:b w:val="0"/>
          <w:bCs w:val="0"/>
          <w:color w:val="auto"/>
          <w:sz w:val="21"/>
          <w:szCs w:val="21"/>
          <w:highlight w:val="none"/>
          <w:u w:val="none"/>
          <w:vertAlign w:val="baseline"/>
          <w:lang w:val="en-US" w:eastAsia="zh-CN"/>
        </w:rPr>
        <w:t>本级及有关项目、单位、公司</w:t>
      </w:r>
      <w:r>
        <w:rPr>
          <w:rFonts w:hint="default" w:ascii="Times New Roman" w:hAnsi="Times New Roman" w:eastAsia="宋体" w:cs="Times New Roman"/>
          <w:b w:val="0"/>
          <w:bCs w:val="0"/>
          <w:color w:val="auto"/>
          <w:sz w:val="21"/>
          <w:szCs w:val="21"/>
          <w:highlight w:val="none"/>
          <w:u w:val="none"/>
          <w:vertAlign w:val="baseline"/>
          <w:lang w:val="en-US" w:eastAsia="zh-CN"/>
        </w:rPr>
        <w:t>等。</w:t>
      </w:r>
    </w:p>
    <w:p w14:paraId="20B00CAC">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pPr>
    </w:p>
    <w:p w14:paraId="12F65248">
      <w:pPr>
        <w:keepNext w:val="0"/>
        <w:keepLines w:val="0"/>
        <w:pageBreakBefore w:val="0"/>
        <w:kinsoku/>
        <w:wordWrap/>
        <w:overflowPunct/>
        <w:topLinePunct w:val="0"/>
        <w:autoSpaceDE/>
        <w:autoSpaceDN/>
        <w:bidi w:val="0"/>
        <w:adjustRightInd/>
        <w:snapToGrid w:val="0"/>
        <w:spacing w:line="578" w:lineRule="exact"/>
        <w:textAlignment w:val="auto"/>
        <w:outlineLvl w:val="9"/>
        <w:rPr>
          <w:rFonts w:hint="default" w:ascii="Times New Roman" w:hAnsi="Times New Roman" w:eastAsia="黑体" w:cs="Times New Roman"/>
          <w:b w:val="0"/>
          <w:bCs w:val="0"/>
          <w:color w:val="auto"/>
          <w:kern w:val="0"/>
          <w:sz w:val="32"/>
          <w:szCs w:val="32"/>
          <w:highlight w:val="none"/>
          <w:u w:val="none"/>
          <w:shd w:val="clear" w:color="auto" w:fill="FFFFFF"/>
          <w:lang w:val="en-US" w:eastAsia="zh-CN"/>
        </w:rPr>
      </w:pP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br w:type="page"/>
      </w:r>
      <w:r>
        <w:rPr>
          <w:rFonts w:hint="default" w:ascii="Times New Roman" w:hAnsi="Times New Roman" w:eastAsia="黑体" w:cs="Times New Roman"/>
          <w:b w:val="0"/>
          <w:bCs w:val="0"/>
          <w:color w:val="auto"/>
          <w:kern w:val="0"/>
          <w:sz w:val="32"/>
          <w:szCs w:val="32"/>
          <w:highlight w:val="none"/>
          <w:u w:val="none"/>
          <w:shd w:val="clear" w:color="auto" w:fill="FFFFFF"/>
          <w:lang w:val="zh-CN" w:eastAsia="zh-CN"/>
        </w:rPr>
        <w:t>附表</w:t>
      </w:r>
      <w:r>
        <w:rPr>
          <w:rFonts w:hint="eastAsia" w:eastAsia="黑体" w:cs="Times New Roman"/>
          <w:b w:val="0"/>
          <w:bCs w:val="0"/>
          <w:color w:val="auto"/>
          <w:kern w:val="0"/>
          <w:sz w:val="32"/>
          <w:szCs w:val="32"/>
          <w:highlight w:val="none"/>
          <w:u w:val="none"/>
          <w:shd w:val="clear" w:color="auto" w:fill="FFFFFF"/>
          <w:lang w:val="en-US" w:eastAsia="zh-CN"/>
        </w:rPr>
        <w:t>3</w:t>
      </w:r>
    </w:p>
    <w:tbl>
      <w:tblPr>
        <w:tblStyle w:val="9"/>
        <w:tblW w:w="102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312"/>
        <w:gridCol w:w="1127"/>
        <w:gridCol w:w="971"/>
        <w:gridCol w:w="1061"/>
        <w:gridCol w:w="938"/>
        <w:gridCol w:w="1841"/>
      </w:tblGrid>
      <w:tr w14:paraId="747F0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6" w:hRule="atLeast"/>
          <w:jc w:val="center"/>
        </w:trPr>
        <w:tc>
          <w:tcPr>
            <w:tcW w:w="10233" w:type="dxa"/>
            <w:gridSpan w:val="9"/>
            <w:noWrap w:val="0"/>
            <w:vAlign w:val="center"/>
          </w:tcPr>
          <w:p w14:paraId="32373F3A">
            <w:pPr>
              <w:keepNext w:val="0"/>
              <w:keepLines w:val="0"/>
              <w:pageBreakBefore w:val="0"/>
              <w:widowControl/>
              <w:suppressLineNumbers w:val="0"/>
              <w:kinsoku/>
              <w:wordWrap/>
              <w:overflowPunct/>
              <w:topLinePunct w:val="0"/>
              <w:autoSpaceDE/>
              <w:autoSpaceDN/>
              <w:bidi w:val="0"/>
              <w:adjustRightInd/>
              <w:snapToGrid/>
              <w:spacing w:line="600" w:lineRule="exact"/>
              <w:ind w:left="0" w:leftChars="0"/>
              <w:jc w:val="center"/>
              <w:textAlignment w:val="center"/>
              <w:rPr>
                <w:rFonts w:hint="default" w:ascii="Times New Roman" w:hAnsi="Times New Roman" w:eastAsia="黑体" w:cs="Times New Roman"/>
                <w:i w:val="0"/>
                <w:color w:val="000000"/>
                <w:sz w:val="30"/>
                <w:szCs w:val="30"/>
                <w:u w:val="none"/>
              </w:rPr>
            </w:pPr>
            <w:r>
              <w:rPr>
                <w:rFonts w:hint="default" w:ascii="Times New Roman" w:hAnsi="Times New Roman" w:eastAsia="方正小标宋简体" w:cs="Times New Roman"/>
                <w:i w:val="0"/>
                <w:color w:val="000000"/>
                <w:kern w:val="0"/>
                <w:sz w:val="40"/>
                <w:szCs w:val="40"/>
                <w:u w:val="none"/>
                <w:lang w:val="en-US" w:eastAsia="zh-CN" w:bidi="ar"/>
              </w:rPr>
              <w:t>专项预算项目绩效目标完成情况自评表</w:t>
            </w:r>
          </w:p>
        </w:tc>
      </w:tr>
      <w:tr w14:paraId="53DE6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45C03288">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项目名称</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631142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202</w:t>
            </w:r>
            <w:r>
              <w:rPr>
                <w:rFonts w:hint="eastAsia" w:ascii="Times New Roman" w:hAnsi="Times New Roman" w:eastAsia="宋体" w:cs="Times New Roman"/>
                <w:i w:val="0"/>
                <w:color w:val="000000"/>
                <w:kern w:val="0"/>
                <w:sz w:val="24"/>
                <w:szCs w:val="24"/>
                <w:u w:val="none"/>
                <w:lang w:val="en-US" w:eastAsia="zh-CN" w:bidi="ar"/>
              </w:rPr>
              <w:t>3</w:t>
            </w:r>
            <w:r>
              <w:rPr>
                <w:rFonts w:hint="default" w:ascii="Times New Roman" w:hAnsi="Times New Roman" w:eastAsia="宋体" w:cs="Times New Roman"/>
                <w:i w:val="0"/>
                <w:color w:val="000000"/>
                <w:kern w:val="0"/>
                <w:sz w:val="24"/>
                <w:szCs w:val="24"/>
                <w:u w:val="none"/>
                <w:lang w:val="en-US" w:eastAsia="zh-CN" w:bidi="ar"/>
              </w:rPr>
              <w:t>年中央财政林草科技推广示范项目岷江上游干旱河谷区造林质量提升关键技术推广与示范</w:t>
            </w:r>
          </w:p>
        </w:tc>
      </w:tr>
      <w:tr w14:paraId="69EE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8"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231382E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预算单位</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FAAC154">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阿坝州林业和草原康英技术研究所</w:t>
            </w:r>
          </w:p>
        </w:tc>
      </w:tr>
      <w:tr w14:paraId="70EFA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4295" w:type="dxa"/>
            <w:gridSpan w:val="4"/>
            <w:tcBorders>
              <w:top w:val="single" w:color="000000" w:sz="4" w:space="0"/>
              <w:left w:val="single" w:color="000000" w:sz="4" w:space="0"/>
              <w:bottom w:val="single" w:color="000000" w:sz="4" w:space="0"/>
              <w:right w:val="single" w:color="000000" w:sz="4" w:space="0"/>
            </w:tcBorders>
            <w:noWrap w:val="0"/>
            <w:vAlign w:val="center"/>
          </w:tcPr>
          <w:p w14:paraId="4F20980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项目类型</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5F1C9420">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202</w:t>
            </w:r>
            <w:r>
              <w:rPr>
                <w:rFonts w:hint="eastAsia" w:ascii="Times New Roman" w:hAnsi="Times New Roman" w:eastAsia="宋体" w:cs="Times New Roman"/>
                <w:i w:val="0"/>
                <w:color w:val="000000"/>
                <w:kern w:val="0"/>
                <w:sz w:val="24"/>
                <w:szCs w:val="24"/>
                <w:u w:val="none"/>
                <w:lang w:val="en-US" w:eastAsia="zh-CN" w:bidi="ar"/>
              </w:rPr>
              <w:t>3</w:t>
            </w:r>
            <w:r>
              <w:rPr>
                <w:rFonts w:hint="default" w:ascii="Times New Roman" w:hAnsi="Times New Roman" w:eastAsia="宋体" w:cs="Times New Roman"/>
                <w:i w:val="0"/>
                <w:color w:val="000000"/>
                <w:kern w:val="0"/>
                <w:sz w:val="24"/>
                <w:szCs w:val="24"/>
                <w:u w:val="none"/>
                <w:lang w:val="en-US" w:eastAsia="zh-CN" w:bidi="ar"/>
              </w:rPr>
              <w:t>年中央财政林草科技推广示范项目</w:t>
            </w:r>
          </w:p>
        </w:tc>
      </w:tr>
      <w:tr w14:paraId="1D505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2B9FEB5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 概况</w:t>
            </w: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0F5410D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中长期规划（名称、文号，仅指</w:t>
            </w:r>
          </w:p>
          <w:p w14:paraId="3D63176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常年项目）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2573F487">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2A4F3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AA990">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1D10EEF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资金管理办法（名称、文号）</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C0E0F7F">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00797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40CA4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6B5678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D18244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14:paraId="574C10A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£项目法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8FC452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i w:val="0"/>
                <w:color w:val="000000"/>
                <w:kern w:val="0"/>
                <w:sz w:val="24"/>
                <w:szCs w:val="24"/>
                <w:u w:val="none"/>
                <w:lang w:val="en-US" w:eastAsia="zh-CN" w:bidi="ar"/>
              </w:rPr>
              <w:t>£</w:t>
            </w:r>
            <w:r>
              <w:rPr>
                <w:rFonts w:hint="default" w:ascii="Times New Roman" w:hAnsi="Times New Roman" w:eastAsia="宋体" w:cs="Times New Roman"/>
                <w:i w:val="0"/>
                <w:color w:val="000000"/>
                <w:kern w:val="0"/>
                <w:sz w:val="24"/>
                <w:szCs w:val="24"/>
                <w:u w:val="none"/>
                <w:lang w:val="en-US" w:eastAsia="zh-CN" w:bidi="ar"/>
              </w:rPr>
              <w:t>据实据效</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FEF60E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Wingdings 2" w:cs="Times New Roman"/>
                <w:i w:val="0"/>
                <w:color w:val="000000"/>
                <w:sz w:val="24"/>
                <w:szCs w:val="24"/>
                <w:u w:val="none"/>
              </w:rPr>
            </w:pPr>
            <w:r>
              <w:rPr>
                <w:rFonts w:hint="default" w:ascii="Times New Roman" w:hAnsi="Times New Roman" w:eastAsia="Wingdings 2" w:cs="Times New Roman"/>
                <w:b/>
                <w:bCs/>
                <w:i w:val="0"/>
                <w:color w:val="000000"/>
                <w:kern w:val="0"/>
                <w:sz w:val="24"/>
                <w:szCs w:val="24"/>
                <w:u w:val="none"/>
                <w:lang w:val="en-US" w:eastAsia="zh-CN" w:bidi="ar"/>
              </w:rPr>
              <w:t>£</w:t>
            </w:r>
            <w:r>
              <w:rPr>
                <w:rFonts w:hint="default" w:ascii="Times New Roman" w:hAnsi="Times New Roman" w:eastAsia="宋体" w:cs="Times New Roman"/>
                <w:b/>
                <w:bCs/>
                <w:i w:val="0"/>
                <w:color w:val="000000"/>
                <w:kern w:val="0"/>
                <w:sz w:val="24"/>
                <w:szCs w:val="24"/>
                <w:u w:val="none"/>
                <w:lang w:val="en-US" w:eastAsia="zh-CN" w:bidi="ar"/>
              </w:rPr>
              <w:t>因素法与项目法相结合</w:t>
            </w:r>
          </w:p>
        </w:tc>
      </w:tr>
      <w:tr w14:paraId="6D5CD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9BE4A">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3D11D28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立项依据</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35892F5">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kern w:val="0"/>
                <w:sz w:val="24"/>
                <w:szCs w:val="24"/>
                <w:u w:val="none"/>
                <w:lang w:val="en-US" w:eastAsia="zh-CN" w:bidi="ar"/>
              </w:rPr>
              <w:t>《岷江上游干旱河谷区多用途树种选育与造林质量关键技术研究及应用》成果进行推广</w:t>
            </w:r>
          </w:p>
        </w:tc>
      </w:tr>
      <w:tr w14:paraId="44BB7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76673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4C61CCCB">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使用范围</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2B2290F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2DFF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4994B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0EDA616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申报（补助）条件</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7B1CCDEA">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r>
      <w:tr w14:paraId="79134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CE2F2A">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3643" w:type="dxa"/>
            <w:gridSpan w:val="3"/>
            <w:tcBorders>
              <w:top w:val="single" w:color="000000" w:sz="4" w:space="0"/>
              <w:left w:val="single" w:color="000000" w:sz="4" w:space="0"/>
              <w:bottom w:val="single" w:color="000000" w:sz="4" w:space="0"/>
              <w:right w:val="single" w:color="000000" w:sz="4" w:space="0"/>
            </w:tcBorders>
            <w:noWrap w:val="0"/>
            <w:vAlign w:val="center"/>
          </w:tcPr>
          <w:p w14:paraId="7B7F8A3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项目起止年限</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3ED43C5F">
            <w:pPr>
              <w:keepNext w:val="0"/>
              <w:keepLines w:val="0"/>
              <w:pageBreakBefore w:val="0"/>
              <w:kinsoku/>
              <w:wordWrap/>
              <w:overflowPunct/>
              <w:topLinePunct w:val="0"/>
              <w:autoSpaceDE/>
              <w:autoSpaceDN/>
              <w:bidi w:val="0"/>
              <w:adjustRightInd/>
              <w:snapToGrid/>
              <w:spacing w:line="300" w:lineRule="exact"/>
              <w:ind w:left="0" w:leftChars="0"/>
              <w:rPr>
                <w:rFonts w:hint="default"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2023——2024</w:t>
            </w:r>
          </w:p>
        </w:tc>
      </w:tr>
      <w:tr w14:paraId="26EC5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B70FDA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项目资金</w:t>
            </w:r>
          </w:p>
          <w:p w14:paraId="004FB03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4102D7C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年度资金总额：</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16C255AA">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56.64</w:t>
            </w:r>
          </w:p>
        </w:tc>
      </w:tr>
      <w:tr w14:paraId="08354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73D620D">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4C0993E">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其中：财政拨款</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017B5322">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56.64</w:t>
            </w:r>
          </w:p>
        </w:tc>
      </w:tr>
      <w:tr w14:paraId="64B9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14E88C5">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14:paraId="003AB28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 xml:space="preserve">            其他资金</w:t>
            </w:r>
          </w:p>
        </w:tc>
        <w:tc>
          <w:tcPr>
            <w:tcW w:w="5938" w:type="dxa"/>
            <w:gridSpan w:val="5"/>
            <w:tcBorders>
              <w:top w:val="single" w:color="000000" w:sz="4" w:space="0"/>
              <w:left w:val="single" w:color="000000" w:sz="4" w:space="0"/>
              <w:bottom w:val="single" w:color="000000" w:sz="4" w:space="0"/>
              <w:right w:val="single" w:color="000000" w:sz="4" w:space="0"/>
            </w:tcBorders>
            <w:noWrap w:val="0"/>
            <w:vAlign w:val="center"/>
          </w:tcPr>
          <w:p w14:paraId="6425091D">
            <w:pPr>
              <w:keepNext w:val="0"/>
              <w:keepLines w:val="0"/>
              <w:pageBreakBefore w:val="0"/>
              <w:kinsoku/>
              <w:wordWrap/>
              <w:overflowPunct/>
              <w:topLinePunct w:val="0"/>
              <w:autoSpaceDE/>
              <w:autoSpaceDN/>
              <w:bidi w:val="0"/>
              <w:adjustRightInd/>
              <w:snapToGrid/>
              <w:spacing w:line="300" w:lineRule="exact"/>
              <w:ind w:left="0" w:leftChars="0"/>
              <w:jc w:val="right"/>
              <w:rPr>
                <w:rFonts w:hint="default" w:ascii="Times New Roman" w:hAnsi="Times New Roman" w:eastAsia="宋体" w:cs="Times New Roman"/>
                <w:i w:val="0"/>
                <w:color w:val="000000"/>
                <w:sz w:val="24"/>
                <w:szCs w:val="24"/>
                <w:u w:val="none"/>
              </w:rPr>
            </w:pPr>
          </w:p>
        </w:tc>
      </w:tr>
      <w:tr w14:paraId="51603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14505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总体 目标</w:t>
            </w: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78AE86C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年度目标</w:t>
            </w:r>
          </w:p>
        </w:tc>
      </w:tr>
      <w:tr w14:paraId="73C99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CED70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9581" w:type="dxa"/>
            <w:gridSpan w:val="8"/>
            <w:tcBorders>
              <w:top w:val="single" w:color="000000" w:sz="4" w:space="0"/>
              <w:left w:val="single" w:color="000000" w:sz="4" w:space="0"/>
              <w:bottom w:val="single" w:color="000000" w:sz="4" w:space="0"/>
              <w:right w:val="single" w:color="000000" w:sz="4" w:space="0"/>
            </w:tcBorders>
            <w:noWrap w:val="0"/>
            <w:vAlign w:val="center"/>
          </w:tcPr>
          <w:p w14:paraId="728422B2">
            <w:pPr>
              <w:widowControl/>
              <w:spacing w:line="360" w:lineRule="auto"/>
              <w:ind w:firstLine="640" w:firstLineChars="200"/>
              <w:rPr>
                <w:rFonts w:hint="eastAsia"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1.建设岷江上游干旱河谷造林质量提升关键技术推广与示范基地</w:t>
            </w:r>
            <w:r>
              <w:rPr>
                <w:rFonts w:hint="default" w:eastAsia="仿宋" w:cs="Times New Roman"/>
                <w:smallCaps/>
                <w:color w:val="auto"/>
                <w:kern w:val="0"/>
                <w:sz w:val="32"/>
                <w:szCs w:val="32"/>
                <w:lang w:val="en" w:eastAsia="zh-CN"/>
              </w:rPr>
              <w:t>200</w:t>
            </w:r>
            <w:r>
              <w:rPr>
                <w:rFonts w:hint="eastAsia" w:eastAsia="仿宋" w:cs="Times New Roman"/>
                <w:smallCaps/>
                <w:color w:val="auto"/>
                <w:kern w:val="0"/>
                <w:sz w:val="32"/>
                <w:szCs w:val="32"/>
                <w:lang w:val="en-US" w:eastAsia="zh-CN"/>
              </w:rPr>
              <w:t>亩。示范基地新栽植苗木当年成活率 85%以上，三年保存率 80%以上。</w:t>
            </w:r>
          </w:p>
          <w:p w14:paraId="209C5B09">
            <w:pPr>
              <w:widowControl/>
              <w:spacing w:line="360" w:lineRule="auto"/>
              <w:ind w:firstLine="640" w:firstLineChars="200"/>
              <w:rPr>
                <w:rFonts w:hint="eastAsia"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2.新建示范基地灌溉设施1套。</w:t>
            </w:r>
          </w:p>
          <w:p w14:paraId="4D00421C">
            <w:pPr>
              <w:widowControl/>
              <w:spacing w:line="360" w:lineRule="auto"/>
              <w:ind w:firstLine="640" w:firstLineChars="200"/>
              <w:rPr>
                <w:rFonts w:hint="default"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3.开展技术培训2期，累计培训专业技术人员、专业合作社100人次。建立科技示范村1个，培养10名技术骨干（乡土专家）和10户科技示范户。</w:t>
            </w:r>
          </w:p>
          <w:p w14:paraId="7FED7798">
            <w:pPr>
              <w:widowControl/>
              <w:spacing w:line="360" w:lineRule="auto"/>
              <w:ind w:firstLine="640" w:firstLineChars="200"/>
              <w:rPr>
                <w:rFonts w:hint="default"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4.编印岷江上游干旱河谷造林质量提升关键技术手册1套。发放100册。</w:t>
            </w:r>
          </w:p>
          <w:p w14:paraId="23A18D3F">
            <w:pPr>
              <w:widowControl/>
              <w:spacing w:line="360" w:lineRule="auto"/>
              <w:ind w:firstLine="640" w:firstLineChars="200"/>
              <w:rPr>
                <w:rFonts w:hint="eastAsia" w:eastAsia="仿宋" w:cs="Times New Roman"/>
                <w:smallCaps/>
                <w:color w:val="auto"/>
                <w:kern w:val="0"/>
                <w:sz w:val="32"/>
                <w:szCs w:val="32"/>
                <w:lang w:val="en-US" w:eastAsia="zh-CN"/>
              </w:rPr>
            </w:pPr>
            <w:r>
              <w:rPr>
                <w:rFonts w:hint="eastAsia" w:eastAsia="仿宋" w:cs="Times New Roman"/>
                <w:smallCaps/>
                <w:color w:val="auto"/>
                <w:kern w:val="0"/>
                <w:sz w:val="32"/>
                <w:szCs w:val="32"/>
                <w:lang w:val="en-US" w:eastAsia="zh-CN"/>
              </w:rPr>
              <w:t>5.录制3-5个时长 30 分钟的培训视频。</w:t>
            </w:r>
          </w:p>
          <w:p w14:paraId="22057CD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r>
      <w:tr w14:paraId="3F8BA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14:paraId="7250978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绩效 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DF14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1306CC5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0793CD7">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0CF93D4">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2643EE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731D6C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度量单位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D723D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权重</w:t>
            </w: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EA22A6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实际完成指标值</w:t>
            </w:r>
          </w:p>
        </w:tc>
      </w:tr>
      <w:tr w14:paraId="0326A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0A613F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D1BD5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产出指标</w:t>
            </w:r>
          </w:p>
        </w:tc>
        <w:tc>
          <w:tcPr>
            <w:tcW w:w="1250" w:type="dxa"/>
            <w:vMerge w:val="restart"/>
            <w:tcBorders>
              <w:top w:val="single" w:color="000000" w:sz="4" w:space="0"/>
              <w:left w:val="single" w:color="000000" w:sz="4" w:space="0"/>
              <w:right w:val="single" w:color="000000" w:sz="4" w:space="0"/>
            </w:tcBorders>
            <w:noWrap w:val="0"/>
            <w:vAlign w:val="center"/>
          </w:tcPr>
          <w:p w14:paraId="038E67E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031A8FB3">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面积</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873EC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CE1C17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0B61D5C">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亩</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67DB3E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47A28C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205亩</w:t>
            </w:r>
          </w:p>
        </w:tc>
      </w:tr>
      <w:tr w14:paraId="1F410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D4D948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4209C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left w:val="single" w:color="000000" w:sz="4" w:space="0"/>
              <w:right w:val="single" w:color="000000" w:sz="4" w:space="0"/>
            </w:tcBorders>
            <w:noWrap w:val="0"/>
            <w:vAlign w:val="center"/>
          </w:tcPr>
          <w:p w14:paraId="1DCD1DC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6564388">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灌溉系统</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4E6518D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C39FC07">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3028C4E">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A52405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6431E93">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1套</w:t>
            </w:r>
          </w:p>
        </w:tc>
      </w:tr>
      <w:tr w14:paraId="232B9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357EE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C7D80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left w:val="single" w:color="000000" w:sz="4" w:space="0"/>
              <w:right w:val="single" w:color="000000" w:sz="4" w:space="0"/>
            </w:tcBorders>
            <w:noWrap w:val="0"/>
            <w:vAlign w:val="center"/>
          </w:tcPr>
          <w:p w14:paraId="747D292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322D90F1">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培训</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ADC2E1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5844FB9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3A537E3">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人次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318C2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B5C80A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129人次</w:t>
            </w:r>
          </w:p>
        </w:tc>
      </w:tr>
      <w:tr w14:paraId="130DB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48E774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8419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left w:val="single" w:color="000000" w:sz="4" w:space="0"/>
              <w:right w:val="single" w:color="000000" w:sz="4" w:space="0"/>
            </w:tcBorders>
            <w:noWrap w:val="0"/>
            <w:vAlign w:val="center"/>
          </w:tcPr>
          <w:p w14:paraId="52FEC12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4BF34F8">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技术手册</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EC1B90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2C7E938">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0520DE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4FFA93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55FFCB3">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1套</w:t>
            </w:r>
          </w:p>
        </w:tc>
      </w:tr>
      <w:tr w14:paraId="4D217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680E4F3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C577D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left w:val="single" w:color="000000" w:sz="4" w:space="0"/>
              <w:bottom w:val="single" w:color="000000" w:sz="4" w:space="0"/>
              <w:right w:val="single" w:color="000000" w:sz="4" w:space="0"/>
            </w:tcBorders>
            <w:noWrap w:val="0"/>
            <w:vAlign w:val="center"/>
          </w:tcPr>
          <w:p w14:paraId="476B08C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C2AED98">
            <w:pPr>
              <w:keepNext w:val="0"/>
              <w:keepLines w:val="0"/>
              <w:pageBreakBefore w:val="0"/>
              <w:kinsoku/>
              <w:wordWrap/>
              <w:overflowPunct/>
              <w:topLinePunct w:val="0"/>
              <w:autoSpaceDE/>
              <w:autoSpaceDN/>
              <w:bidi w:val="0"/>
              <w:adjustRightInd/>
              <w:snapToGrid/>
              <w:spacing w:line="300" w:lineRule="exact"/>
              <w:ind w:left="0" w:leftChars="0"/>
              <w:rPr>
                <w:rFonts w:hint="eastAsia"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视频</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9E44D4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AB4F30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3—5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15197DA">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1476FF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EF7DA5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5个</w:t>
            </w:r>
          </w:p>
        </w:tc>
      </w:tr>
      <w:tr w14:paraId="364AC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293633A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E002D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7E7FB0A">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34BB240">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成活率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A983B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93832C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80%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70D432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908EA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2B76D5C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94.58%</w:t>
            </w:r>
          </w:p>
        </w:tc>
      </w:tr>
      <w:tr w14:paraId="5F799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027A2AE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64B9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A2AF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60822B2">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3A93DA6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F0C89F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18D273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134354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3E1089E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6B93A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E98E97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FB87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7EEA5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3B71F34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val="en-US" w:eastAsia="zh-CN"/>
              </w:rPr>
              <w:t>完成年限</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345F36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015A168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2024年完成</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A0A3A1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4FCA99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F34F8BC">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2024年完成</w:t>
            </w:r>
          </w:p>
        </w:tc>
      </w:tr>
      <w:tr w14:paraId="0A184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7F32607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0478D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1D7D0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522E5D8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751F2F8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003AC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33AF3A76">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B64FE9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450EA6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5350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AFBFC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481B8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91DAB6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9A67C91">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3CC106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00EE9B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0CE7EE8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7B9CC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A188B8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59CE4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2412FC5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3F5CE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效益指标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7BF0B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经济效益</w:t>
            </w:r>
          </w:p>
          <w:p w14:paraId="41AAE7F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F050EBF">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种苗</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DED815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7FC9DE9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29.304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22DECCAE">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F5CBB3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11E364A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当地合作社销售种苗29.304万元</w:t>
            </w:r>
          </w:p>
        </w:tc>
      </w:tr>
      <w:tr w14:paraId="10728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6F27AA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DB79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C7148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6A29545B">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劳务</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7E6799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253945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17.064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59DF5ECD">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万元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D14D7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0BC6BFF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ascii="Times New Roman" w:hAnsi="Times New Roman" w:eastAsia="宋体" w:cs="Times New Roman"/>
                <w:i w:val="0"/>
                <w:color w:val="000000"/>
                <w:sz w:val="24"/>
                <w:szCs w:val="24"/>
                <w:u w:val="none"/>
                <w:lang w:val="en-US" w:eastAsia="zh-CN"/>
              </w:rPr>
              <w:t>劳务费用17.064万元</w:t>
            </w:r>
          </w:p>
        </w:tc>
      </w:tr>
      <w:tr w14:paraId="5D7AF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85D5F4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8B449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restart"/>
            <w:tcBorders>
              <w:top w:val="single" w:color="000000" w:sz="4" w:space="0"/>
              <w:left w:val="single" w:color="000000" w:sz="4" w:space="0"/>
              <w:right w:val="single" w:color="000000" w:sz="4" w:space="0"/>
            </w:tcBorders>
            <w:noWrap w:val="0"/>
            <w:vAlign w:val="center"/>
          </w:tcPr>
          <w:p w14:paraId="3A32A50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社会效益</w:t>
            </w:r>
          </w:p>
          <w:p w14:paraId="614FA3E5">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4B11D2E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2168059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51286D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4162208D">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CDED43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78F75FA">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val="en-US" w:eastAsia="zh-CN"/>
              </w:rPr>
            </w:pPr>
            <w:r>
              <w:rPr>
                <w:rFonts w:hint="eastAsia" w:ascii="Times New Roman" w:hAnsi="Times New Roman" w:eastAsia="宋体" w:cs="Times New Roman"/>
                <w:i w:val="0"/>
                <w:color w:val="000000"/>
                <w:sz w:val="24"/>
                <w:szCs w:val="24"/>
                <w:u w:val="none"/>
                <w:lang w:val="en-US" w:eastAsia="zh-CN"/>
              </w:rPr>
              <w:t>本成果的推广起到很好的示范带动作用，该区域生态环境的改善，本研究成果的推广应用还将在一定程度上促进该区域旅游产业的发展，并带动社会剩余劳动力的就业，为该区域经济和社会发展奠定技术基础。</w:t>
            </w:r>
          </w:p>
          <w:p w14:paraId="2A0D250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62D26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EDA642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31136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vMerge w:val="continue"/>
            <w:tcBorders>
              <w:top w:val="single" w:color="000000" w:sz="4" w:space="0"/>
              <w:left w:val="single" w:color="000000" w:sz="4" w:space="0"/>
              <w:right w:val="single" w:color="000000" w:sz="4" w:space="0"/>
            </w:tcBorders>
            <w:noWrap w:val="0"/>
            <w:vAlign w:val="center"/>
          </w:tcPr>
          <w:p w14:paraId="5F55CD7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745AB1D3">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3A1FC5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4F616E11">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83CC77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2F553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420DA8C8">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64E8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20A01D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DFCBD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5A08AED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1469975C">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457B34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1889F50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1921C3CB">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B6FACF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902D7F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r w14:paraId="3D23C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5B9137F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tcBorders>
              <w:top w:val="single" w:color="000000" w:sz="4" w:space="0"/>
              <w:left w:val="single" w:color="000000" w:sz="4" w:space="0"/>
              <w:right w:val="single" w:color="000000" w:sz="4" w:space="0"/>
            </w:tcBorders>
            <w:noWrap w:val="0"/>
            <w:vAlign w:val="center"/>
          </w:tcPr>
          <w:p w14:paraId="2C69EBD1">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满意度</w:t>
            </w:r>
          </w:p>
          <w:p w14:paraId="56F0585D">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14:paraId="6F142672">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服务对象</w:t>
            </w:r>
          </w:p>
          <w:p w14:paraId="6EC293E0">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14:paraId="2214C9D7">
            <w:pPr>
              <w:keepNext w:val="0"/>
              <w:keepLines w:val="0"/>
              <w:pageBreakBefore w:val="0"/>
              <w:kinsoku/>
              <w:wordWrap/>
              <w:overflowPunct/>
              <w:topLinePunct w:val="0"/>
              <w:autoSpaceDE/>
              <w:autoSpaceDN/>
              <w:bidi w:val="0"/>
              <w:adjustRightInd/>
              <w:snapToGrid/>
              <w:spacing w:line="300" w:lineRule="exact"/>
              <w:ind w:left="0" w:leftChars="0"/>
              <w:rPr>
                <w:rFonts w:hint="eastAsia" w:ascii="Times New Roman" w:hAnsi="Times New Roman" w:eastAsia="宋体" w:cs="Times New Roman"/>
                <w:i w:val="0"/>
                <w:color w:val="000000"/>
                <w:sz w:val="24"/>
                <w:szCs w:val="24"/>
                <w:u w:val="none"/>
                <w:lang w:eastAsia="zh-CN"/>
              </w:rPr>
            </w:pPr>
            <w:r>
              <w:rPr>
                <w:rFonts w:hint="eastAsia" w:ascii="Times New Roman" w:hAnsi="Times New Roman" w:eastAsia="宋体" w:cs="Times New Roman"/>
                <w:i w:val="0"/>
                <w:color w:val="000000"/>
                <w:sz w:val="24"/>
                <w:szCs w:val="24"/>
                <w:u w:val="none"/>
                <w:lang w:val="en-US" w:eastAsia="zh-CN"/>
              </w:rPr>
              <w:t>项目整体形象以及示范作用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673E3F4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6429F004">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4A51105">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89364A">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035700E5">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eastAsia="宋体" w:cs="Times New Roman"/>
                <w:i w:val="0"/>
                <w:color w:val="000000"/>
                <w:sz w:val="24"/>
                <w:szCs w:val="24"/>
                <w:u w:val="none"/>
                <w:lang w:eastAsia="zh-CN"/>
              </w:rPr>
              <w:t>满意</w:t>
            </w:r>
          </w:p>
        </w:tc>
      </w:tr>
      <w:tr w14:paraId="146B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1069E572">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14:paraId="40AFBB29">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3C591413">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宋体" w:cs="Times New Roman"/>
                <w:i w:val="0"/>
                <w:color w:val="000000"/>
                <w:kern w:val="0"/>
                <w:sz w:val="24"/>
                <w:szCs w:val="24"/>
                <w:u w:val="none"/>
                <w:lang w:val="en-US" w:eastAsia="zh-CN" w:bidi="ar"/>
              </w:rPr>
              <w:t>经济成本</w:t>
            </w:r>
          </w:p>
          <w:p w14:paraId="4C64FDF6">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14:paraId="22B7CB27">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lang w:val="en-US" w:eastAsia="zh-CN"/>
              </w:rPr>
            </w:pPr>
            <w:r>
              <w:rPr>
                <w:rFonts w:hint="eastAsia" w:eastAsia="宋体" w:cs="Times New Roman"/>
                <w:i w:val="0"/>
                <w:color w:val="000000"/>
                <w:sz w:val="24"/>
                <w:szCs w:val="24"/>
                <w:u w:val="none"/>
                <w:lang w:eastAsia="zh-CN"/>
              </w:rPr>
              <w:t>预算</w:t>
            </w:r>
            <w:r>
              <w:rPr>
                <w:rFonts w:hint="eastAsia" w:eastAsia="宋体" w:cs="Times New Roman"/>
                <w:i w:val="0"/>
                <w:color w:val="000000"/>
                <w:sz w:val="24"/>
                <w:szCs w:val="24"/>
                <w:u w:val="none"/>
                <w:lang w:val="en-US" w:eastAsia="zh-CN"/>
              </w:rPr>
              <w:t>56.64万元</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58F0AACE">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B63AA3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r>
              <w:rPr>
                <w:rFonts w:hint="eastAsia" w:eastAsia="宋体" w:cs="Times New Roman"/>
                <w:i w:val="0"/>
                <w:color w:val="000000"/>
                <w:sz w:val="24"/>
                <w:szCs w:val="24"/>
                <w:u w:val="none"/>
                <w:lang w:val="en-US" w:eastAsia="zh-CN"/>
              </w:rPr>
              <w:t>56.64万元</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69E345B0">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972C1B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502AF4E3">
            <w:pPr>
              <w:keepNext w:val="0"/>
              <w:keepLines w:val="0"/>
              <w:pageBreakBefore w:val="0"/>
              <w:kinsoku/>
              <w:wordWrap/>
              <w:overflowPunct/>
              <w:topLinePunct w:val="0"/>
              <w:autoSpaceDE/>
              <w:autoSpaceDN/>
              <w:bidi w:val="0"/>
              <w:adjustRightInd/>
              <w:snapToGrid/>
              <w:spacing w:line="300" w:lineRule="exact"/>
              <w:ind w:left="0" w:leftChars="0"/>
              <w:jc w:val="center"/>
              <w:rPr>
                <w:rFonts w:hint="eastAsia" w:ascii="Times New Roman" w:hAnsi="Times New Roman" w:eastAsia="宋体" w:cs="Times New Roman"/>
                <w:i w:val="0"/>
                <w:color w:val="000000"/>
                <w:sz w:val="24"/>
                <w:szCs w:val="24"/>
                <w:u w:val="none"/>
                <w:lang w:eastAsia="zh-CN"/>
              </w:rPr>
            </w:pPr>
            <w:r>
              <w:rPr>
                <w:rFonts w:hint="eastAsia" w:ascii="Times New Roman" w:hAnsi="Times New Roman" w:eastAsia="宋体" w:cs="Times New Roman"/>
                <w:i w:val="0"/>
                <w:color w:val="000000"/>
                <w:sz w:val="24"/>
                <w:szCs w:val="24"/>
                <w:u w:val="none"/>
                <w:lang w:val="en-US" w:eastAsia="zh-CN"/>
              </w:rPr>
              <w:t>使用56.42万元</w:t>
            </w:r>
          </w:p>
        </w:tc>
      </w:tr>
      <w:tr w14:paraId="031F5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14:paraId="319B0CD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A3B89">
            <w:pPr>
              <w:keepNext w:val="0"/>
              <w:keepLines w:val="0"/>
              <w:pageBreakBefore w:val="0"/>
              <w:kinsoku/>
              <w:wordWrap/>
              <w:overflowPunct/>
              <w:topLinePunct w:val="0"/>
              <w:autoSpaceDE/>
              <w:autoSpaceDN/>
              <w:bidi w:val="0"/>
              <w:adjustRightInd/>
              <w:snapToGrid/>
              <w:spacing w:line="300" w:lineRule="exact"/>
              <w:ind w:left="0" w:leftChars="0"/>
              <w:jc w:val="left"/>
              <w:rPr>
                <w:rFonts w:hint="default" w:ascii="Times New Roman" w:hAnsi="Times New Roman" w:eastAsia="宋体" w:cs="Times New Roman"/>
                <w:i w:val="0"/>
                <w:color w:val="000000"/>
                <w:sz w:val="24"/>
                <w:szCs w:val="24"/>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14:paraId="7975D88F">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lang w:val="en-US" w:eastAsia="zh-CN" w:bidi="ar"/>
              </w:rPr>
              <w:t>......</w:t>
            </w:r>
          </w:p>
        </w:tc>
        <w:tc>
          <w:tcPr>
            <w:tcW w:w="1312" w:type="dxa"/>
            <w:tcBorders>
              <w:top w:val="single" w:color="000000" w:sz="4" w:space="0"/>
              <w:bottom w:val="single" w:color="000000" w:sz="4" w:space="0"/>
              <w:right w:val="single" w:color="000000" w:sz="4" w:space="0"/>
            </w:tcBorders>
            <w:noWrap w:val="0"/>
            <w:vAlign w:val="center"/>
          </w:tcPr>
          <w:p w14:paraId="75EFB93A">
            <w:pPr>
              <w:keepNext w:val="0"/>
              <w:keepLines w:val="0"/>
              <w:pageBreakBefore w:val="0"/>
              <w:kinsoku/>
              <w:wordWrap/>
              <w:overflowPunct/>
              <w:topLinePunct w:val="0"/>
              <w:autoSpaceDE/>
              <w:autoSpaceDN/>
              <w:bidi w:val="0"/>
              <w:adjustRightInd/>
              <w:snapToGrid/>
              <w:spacing w:line="300" w:lineRule="exact"/>
              <w:ind w:left="0" w:leftChars="0"/>
              <w:rPr>
                <w:rFonts w:hint="default" w:ascii="Times New Roman" w:hAnsi="Times New Roman" w:eastAsia="宋体" w:cs="Times New Roman"/>
                <w:i w:val="0"/>
                <w:color w:val="000000"/>
                <w:sz w:val="24"/>
                <w:szCs w:val="24"/>
                <w:u w:val="none"/>
              </w:rPr>
            </w:pPr>
          </w:p>
        </w:tc>
        <w:tc>
          <w:tcPr>
            <w:tcW w:w="1127" w:type="dxa"/>
            <w:tcBorders>
              <w:top w:val="single" w:color="000000" w:sz="4" w:space="0"/>
              <w:left w:val="single" w:color="000000" w:sz="4" w:space="0"/>
              <w:bottom w:val="single" w:color="000000" w:sz="4" w:space="0"/>
              <w:right w:val="single" w:color="000000" w:sz="4" w:space="0"/>
            </w:tcBorders>
            <w:noWrap w:val="0"/>
            <w:vAlign w:val="center"/>
          </w:tcPr>
          <w:p w14:paraId="0FF714E9">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noWrap w:val="0"/>
            <w:vAlign w:val="center"/>
          </w:tcPr>
          <w:p w14:paraId="30709A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061" w:type="dxa"/>
            <w:tcBorders>
              <w:top w:val="single" w:color="000000" w:sz="4" w:space="0"/>
              <w:left w:val="single" w:color="000000" w:sz="4" w:space="0"/>
              <w:bottom w:val="single" w:color="000000" w:sz="4" w:space="0"/>
              <w:right w:val="single" w:color="000000" w:sz="4" w:space="0"/>
            </w:tcBorders>
            <w:noWrap w:val="0"/>
            <w:vAlign w:val="center"/>
          </w:tcPr>
          <w:p w14:paraId="7F55D6EF">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23A2D57">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c>
          <w:tcPr>
            <w:tcW w:w="1841" w:type="dxa"/>
            <w:tcBorders>
              <w:top w:val="single" w:color="000000" w:sz="4" w:space="0"/>
              <w:left w:val="single" w:color="000000" w:sz="4" w:space="0"/>
              <w:bottom w:val="single" w:color="000000" w:sz="4" w:space="0"/>
              <w:right w:val="single" w:color="000000" w:sz="4" w:space="0"/>
            </w:tcBorders>
            <w:noWrap w:val="0"/>
            <w:vAlign w:val="center"/>
          </w:tcPr>
          <w:p w14:paraId="6B41BEC3">
            <w:pPr>
              <w:keepNext w:val="0"/>
              <w:keepLines w:val="0"/>
              <w:pageBreakBefore w:val="0"/>
              <w:kinsoku/>
              <w:wordWrap/>
              <w:overflowPunct/>
              <w:topLinePunct w:val="0"/>
              <w:autoSpaceDE/>
              <w:autoSpaceDN/>
              <w:bidi w:val="0"/>
              <w:adjustRightInd/>
              <w:snapToGrid/>
              <w:spacing w:line="300" w:lineRule="exact"/>
              <w:ind w:left="0" w:leftChars="0"/>
              <w:jc w:val="center"/>
              <w:rPr>
                <w:rFonts w:hint="default" w:ascii="Times New Roman" w:hAnsi="Times New Roman" w:eastAsia="宋体" w:cs="Times New Roman"/>
                <w:i w:val="0"/>
                <w:color w:val="000000"/>
                <w:sz w:val="24"/>
                <w:szCs w:val="24"/>
                <w:u w:val="none"/>
              </w:rPr>
            </w:pPr>
          </w:p>
        </w:tc>
      </w:tr>
    </w:tbl>
    <w:p w14:paraId="0A0142B4">
      <w:pPr>
        <w:pStyle w:val="8"/>
        <w:keepNext w:val="0"/>
        <w:keepLines w:val="0"/>
        <w:pageBreakBefore w:val="0"/>
        <w:widowControl w:val="0"/>
        <w:kinsoku/>
        <w:wordWrap/>
        <w:overflowPunct/>
        <w:topLinePunct w:val="0"/>
        <w:autoSpaceDE/>
        <w:autoSpaceDN/>
        <w:bidi w:val="0"/>
        <w:adjustRightInd/>
        <w:snapToGrid/>
        <w:spacing w:after="0" w:line="20" w:lineRule="exact"/>
        <w:ind w:left="0" w:leftChars="0"/>
        <w:textAlignment w:val="auto"/>
        <w:rPr>
          <w:rFonts w:hint="default" w:ascii="Times New Roman" w:hAnsi="Times New Roman" w:eastAsia="黑体" w:cs="Times New Roman"/>
          <w:sz w:val="24"/>
          <w:szCs w:val="24"/>
          <w:highlight w:val="none"/>
          <w:lang w:val="en-US" w:eastAsia="zh-CN"/>
        </w:rPr>
      </w:pPr>
    </w:p>
    <w:sectPr>
      <w:footerReference r:id="rId3" w:type="default"/>
      <w:pgSz w:w="11906" w:h="16838"/>
      <w:pgMar w:top="1440" w:right="1797" w:bottom="1440" w:left="179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
    <w:altName w:val="方正公文小标宋"/>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Wingdings 2">
    <w:altName w:val="Wingdings"/>
    <w:panose1 w:val="05020102010507070707"/>
    <w:charset w:val="02"/>
    <w:family w:val="auto"/>
    <w:pitch w:val="default"/>
    <w:sig w:usb0="00000000" w:usb1="00000000" w:usb2="00000000" w:usb3="00000000" w:csb0="80000000"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A991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2013BA">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32013BA">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2FED6"/>
    <w:multiLevelType w:val="singleLevel"/>
    <w:tmpl w:val="EC22FED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1D4D51"/>
    <w:rsid w:val="04BB53EA"/>
    <w:rsid w:val="0DB2707A"/>
    <w:rsid w:val="1C25106F"/>
    <w:rsid w:val="1CFD8DF6"/>
    <w:rsid w:val="1FED5D59"/>
    <w:rsid w:val="1FFF9AD9"/>
    <w:rsid w:val="22AD555F"/>
    <w:rsid w:val="26CF2DB3"/>
    <w:rsid w:val="2AF86ED7"/>
    <w:rsid w:val="2AFDF212"/>
    <w:rsid w:val="2B385C88"/>
    <w:rsid w:val="2B6BF484"/>
    <w:rsid w:val="2FFF7DE7"/>
    <w:rsid w:val="33F748AD"/>
    <w:rsid w:val="34DE7EE1"/>
    <w:rsid w:val="35874596"/>
    <w:rsid w:val="35F2A362"/>
    <w:rsid w:val="36EA2AC9"/>
    <w:rsid w:val="371A51D2"/>
    <w:rsid w:val="373BBD0C"/>
    <w:rsid w:val="39BFEDBA"/>
    <w:rsid w:val="39DBABD8"/>
    <w:rsid w:val="3AED12ED"/>
    <w:rsid w:val="3AFF6A5D"/>
    <w:rsid w:val="3BDD34D2"/>
    <w:rsid w:val="3BDDFF97"/>
    <w:rsid w:val="3BFFD43B"/>
    <w:rsid w:val="3C7BD5C9"/>
    <w:rsid w:val="3FB7D85C"/>
    <w:rsid w:val="3FBF9251"/>
    <w:rsid w:val="3FED766E"/>
    <w:rsid w:val="3FFEEAD9"/>
    <w:rsid w:val="3FFFE931"/>
    <w:rsid w:val="457F07F2"/>
    <w:rsid w:val="4CC6FDBD"/>
    <w:rsid w:val="4E07F45D"/>
    <w:rsid w:val="4F3FAE59"/>
    <w:rsid w:val="4FBD09DD"/>
    <w:rsid w:val="4FF59AF5"/>
    <w:rsid w:val="503D00E8"/>
    <w:rsid w:val="533E2D98"/>
    <w:rsid w:val="55FE10A2"/>
    <w:rsid w:val="56EF6619"/>
    <w:rsid w:val="57AF1E73"/>
    <w:rsid w:val="5AB21C33"/>
    <w:rsid w:val="5AFEC0A8"/>
    <w:rsid w:val="5B778EC0"/>
    <w:rsid w:val="5BFD93EC"/>
    <w:rsid w:val="5CBA8FF2"/>
    <w:rsid w:val="5D5F7E21"/>
    <w:rsid w:val="5DD7774E"/>
    <w:rsid w:val="5F5B35E4"/>
    <w:rsid w:val="5FCEDE4D"/>
    <w:rsid w:val="609FA7B0"/>
    <w:rsid w:val="67FBEBB2"/>
    <w:rsid w:val="67FBFE7F"/>
    <w:rsid w:val="69FCE5E7"/>
    <w:rsid w:val="6A655F86"/>
    <w:rsid w:val="6BCDA9CC"/>
    <w:rsid w:val="6BF9828C"/>
    <w:rsid w:val="6D9F2765"/>
    <w:rsid w:val="6DB508E5"/>
    <w:rsid w:val="6DDFA6BD"/>
    <w:rsid w:val="6E767ACE"/>
    <w:rsid w:val="6E781687"/>
    <w:rsid w:val="6EEE3ED1"/>
    <w:rsid w:val="6EFBDD66"/>
    <w:rsid w:val="6EFFED40"/>
    <w:rsid w:val="6F1B2166"/>
    <w:rsid w:val="6F5FC1DE"/>
    <w:rsid w:val="6FB3E1FD"/>
    <w:rsid w:val="6FD768E4"/>
    <w:rsid w:val="6FF341F1"/>
    <w:rsid w:val="6FFEBD86"/>
    <w:rsid w:val="73FF1F09"/>
    <w:rsid w:val="73FF684B"/>
    <w:rsid w:val="74A708C5"/>
    <w:rsid w:val="76DFCB7D"/>
    <w:rsid w:val="771D4D51"/>
    <w:rsid w:val="7735A28E"/>
    <w:rsid w:val="776651BA"/>
    <w:rsid w:val="77778F6D"/>
    <w:rsid w:val="77ABFD6B"/>
    <w:rsid w:val="77B7A121"/>
    <w:rsid w:val="77C748BA"/>
    <w:rsid w:val="77DD24F1"/>
    <w:rsid w:val="77F10335"/>
    <w:rsid w:val="77F7E860"/>
    <w:rsid w:val="77FB8D34"/>
    <w:rsid w:val="797D0128"/>
    <w:rsid w:val="79EDB415"/>
    <w:rsid w:val="7ABBCDAB"/>
    <w:rsid w:val="7AFCAD25"/>
    <w:rsid w:val="7AFEB9B4"/>
    <w:rsid w:val="7B5E0C37"/>
    <w:rsid w:val="7B63F034"/>
    <w:rsid w:val="7B735637"/>
    <w:rsid w:val="7B7DE504"/>
    <w:rsid w:val="7B7E6AE1"/>
    <w:rsid w:val="7BFEC4F8"/>
    <w:rsid w:val="7DA14F75"/>
    <w:rsid w:val="7DB57A61"/>
    <w:rsid w:val="7DC7DC1F"/>
    <w:rsid w:val="7DF95E12"/>
    <w:rsid w:val="7DFDF40F"/>
    <w:rsid w:val="7DFF9BC7"/>
    <w:rsid w:val="7EB645E3"/>
    <w:rsid w:val="7EB6B7AB"/>
    <w:rsid w:val="7EDEF702"/>
    <w:rsid w:val="7EFD6908"/>
    <w:rsid w:val="7EFF8787"/>
    <w:rsid w:val="7F1C270D"/>
    <w:rsid w:val="7F5F4807"/>
    <w:rsid w:val="7F722518"/>
    <w:rsid w:val="7F7CF90E"/>
    <w:rsid w:val="7F9E3557"/>
    <w:rsid w:val="7FBF2857"/>
    <w:rsid w:val="7FBF7A1B"/>
    <w:rsid w:val="7FD3B1BB"/>
    <w:rsid w:val="7FE7031F"/>
    <w:rsid w:val="7FEC5D3B"/>
    <w:rsid w:val="7FEF37E2"/>
    <w:rsid w:val="7FF70813"/>
    <w:rsid w:val="7FF7B584"/>
    <w:rsid w:val="7FFB50B2"/>
    <w:rsid w:val="7FFDFB4B"/>
    <w:rsid w:val="7FFE6F01"/>
    <w:rsid w:val="7FFF1910"/>
    <w:rsid w:val="7FFF8C1D"/>
    <w:rsid w:val="7FFF92F0"/>
    <w:rsid w:val="7FFF9DE1"/>
    <w:rsid w:val="7FFFCB58"/>
    <w:rsid w:val="7FFFF07C"/>
    <w:rsid w:val="9BF3195D"/>
    <w:rsid w:val="A5DB4128"/>
    <w:rsid w:val="A6E375DB"/>
    <w:rsid w:val="A6EFA809"/>
    <w:rsid w:val="A6F7CC0B"/>
    <w:rsid w:val="AABFBDFA"/>
    <w:rsid w:val="AF7DE88E"/>
    <w:rsid w:val="AFED1DC0"/>
    <w:rsid w:val="AFFBB299"/>
    <w:rsid w:val="B3E9303C"/>
    <w:rsid w:val="B3ECA4C8"/>
    <w:rsid w:val="B4D7E8EA"/>
    <w:rsid w:val="B4EF3795"/>
    <w:rsid w:val="B5E79B51"/>
    <w:rsid w:val="B6E7F02A"/>
    <w:rsid w:val="B797ED78"/>
    <w:rsid w:val="B7DBE5C1"/>
    <w:rsid w:val="BB75119C"/>
    <w:rsid w:val="BBD3B774"/>
    <w:rsid w:val="BBDF02B2"/>
    <w:rsid w:val="BC7BD4A3"/>
    <w:rsid w:val="BCFB0575"/>
    <w:rsid w:val="BE5EC634"/>
    <w:rsid w:val="BEC77393"/>
    <w:rsid w:val="BEFBE938"/>
    <w:rsid w:val="BEFECBAE"/>
    <w:rsid w:val="BF2F7DA9"/>
    <w:rsid w:val="BF7F7592"/>
    <w:rsid w:val="BFB71281"/>
    <w:rsid w:val="BFBDF2DF"/>
    <w:rsid w:val="BFE4DD88"/>
    <w:rsid w:val="BFF9117D"/>
    <w:rsid w:val="BFFF6947"/>
    <w:rsid w:val="C8FDA203"/>
    <w:rsid w:val="CEF79301"/>
    <w:rsid w:val="CEFBB93B"/>
    <w:rsid w:val="CF7C6158"/>
    <w:rsid w:val="CF9D4E98"/>
    <w:rsid w:val="CFBFEC5E"/>
    <w:rsid w:val="CFFF3C24"/>
    <w:rsid w:val="D65BF816"/>
    <w:rsid w:val="D73F10CF"/>
    <w:rsid w:val="D977C3BB"/>
    <w:rsid w:val="D977C9A6"/>
    <w:rsid w:val="D9FF310B"/>
    <w:rsid w:val="DBF57698"/>
    <w:rsid w:val="DBFFAB54"/>
    <w:rsid w:val="DDF6375C"/>
    <w:rsid w:val="DDFF5069"/>
    <w:rsid w:val="DECF83A1"/>
    <w:rsid w:val="DEEBD176"/>
    <w:rsid w:val="DEED29CB"/>
    <w:rsid w:val="DEFF6025"/>
    <w:rsid w:val="DF4E686F"/>
    <w:rsid w:val="DF7F78BD"/>
    <w:rsid w:val="DFDFC0CD"/>
    <w:rsid w:val="DFF6DD26"/>
    <w:rsid w:val="DFF7F21C"/>
    <w:rsid w:val="DFFE4986"/>
    <w:rsid w:val="E3F74AB8"/>
    <w:rsid w:val="E5FD7CF6"/>
    <w:rsid w:val="E7FE6222"/>
    <w:rsid w:val="E9BB2A12"/>
    <w:rsid w:val="EDDF69E1"/>
    <w:rsid w:val="EDF76BB3"/>
    <w:rsid w:val="EEF68640"/>
    <w:rsid w:val="EFF41AC0"/>
    <w:rsid w:val="EFF76D95"/>
    <w:rsid w:val="EFFF2C87"/>
    <w:rsid w:val="EFFFA435"/>
    <w:rsid w:val="F1DF82E1"/>
    <w:rsid w:val="F1F64F55"/>
    <w:rsid w:val="F2E22473"/>
    <w:rsid w:val="F2F495FA"/>
    <w:rsid w:val="F35D14F0"/>
    <w:rsid w:val="F3F4C349"/>
    <w:rsid w:val="F3F64609"/>
    <w:rsid w:val="F4E96614"/>
    <w:rsid w:val="F4F54B3B"/>
    <w:rsid w:val="F58EBBB0"/>
    <w:rsid w:val="F5CBD2AD"/>
    <w:rsid w:val="F5D58BA5"/>
    <w:rsid w:val="F6F3FBF3"/>
    <w:rsid w:val="F6FE0D0F"/>
    <w:rsid w:val="F9B8FDC3"/>
    <w:rsid w:val="F9BF4E89"/>
    <w:rsid w:val="FA79E738"/>
    <w:rsid w:val="FAD729CA"/>
    <w:rsid w:val="FB1B5977"/>
    <w:rsid w:val="FBE79844"/>
    <w:rsid w:val="FBF3BFDD"/>
    <w:rsid w:val="FBF62448"/>
    <w:rsid w:val="FBF76486"/>
    <w:rsid w:val="FBFF7DC7"/>
    <w:rsid w:val="FC37AF17"/>
    <w:rsid w:val="FCDE5A6F"/>
    <w:rsid w:val="FCFE5638"/>
    <w:rsid w:val="FCFF1FE1"/>
    <w:rsid w:val="FD7C7175"/>
    <w:rsid w:val="FDD7319B"/>
    <w:rsid w:val="FDDE4FF7"/>
    <w:rsid w:val="FDF8F696"/>
    <w:rsid w:val="FE7B38A4"/>
    <w:rsid w:val="FE7EBDAF"/>
    <w:rsid w:val="FEAF5424"/>
    <w:rsid w:val="FECB8DB0"/>
    <w:rsid w:val="FECF948F"/>
    <w:rsid w:val="FEDCE487"/>
    <w:rsid w:val="FEED62B0"/>
    <w:rsid w:val="FEEFF60E"/>
    <w:rsid w:val="FEFD6F73"/>
    <w:rsid w:val="FF0F1500"/>
    <w:rsid w:val="FF5995C2"/>
    <w:rsid w:val="FF6B552C"/>
    <w:rsid w:val="FF6F74D4"/>
    <w:rsid w:val="FFBB4B28"/>
    <w:rsid w:val="FFCFE300"/>
    <w:rsid w:val="FFD58A98"/>
    <w:rsid w:val="FFDD382A"/>
    <w:rsid w:val="FFDFD60A"/>
    <w:rsid w:val="FFE6F78D"/>
    <w:rsid w:val="FFEBBD1A"/>
    <w:rsid w:val="FFEF3B9A"/>
    <w:rsid w:val="FFF171B6"/>
    <w:rsid w:val="FFF33D76"/>
    <w:rsid w:val="FFFA984C"/>
    <w:rsid w:val="FFFB4651"/>
    <w:rsid w:val="FFFD90B9"/>
    <w:rsid w:val="FFFF2620"/>
    <w:rsid w:val="FFFF5C30"/>
    <w:rsid w:val="FFFFC5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4">
    <w:name w:val="Body Text Indent"/>
    <w:basedOn w:val="1"/>
    <w:qFormat/>
    <w:uiPriority w:val="0"/>
    <w:pPr>
      <w:spacing w:after="120"/>
      <w:ind w:leftChars="200"/>
    </w:pPr>
    <w:rPr>
      <w:rFonts w:ascii="仿宋_GB2312"/>
      <w:szCs w:val="32"/>
    </w:rPr>
  </w:style>
  <w:style w:type="paragraph" w:styleId="5">
    <w:name w:val="footer"/>
    <w:basedOn w:val="1"/>
    <w:unhideWhenUsed/>
    <w:qFormat/>
    <w:uiPriority w:val="99"/>
    <w:pPr>
      <w:tabs>
        <w:tab w:val="center" w:pos="4153"/>
        <w:tab w:val="right" w:pos="8306"/>
      </w:tabs>
      <w:snapToGrid w:val="0"/>
      <w:jc w:val="left"/>
    </w:pPr>
    <w:rPr>
      <w:sz w:val="18"/>
      <w:szCs w:val="18"/>
      <w:lang w:val="zh-CN" w:eastAsia="zh-CN"/>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7">
    <w:name w:val="toc 1"/>
    <w:basedOn w:val="1"/>
    <w:next w:val="1"/>
    <w:qFormat/>
    <w:uiPriority w:val="0"/>
  </w:style>
  <w:style w:type="paragraph" w:styleId="8">
    <w:name w:val="Body Text First Indent 2"/>
    <w:basedOn w:val="4"/>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3">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933</Words>
  <Characters>1013</Characters>
  <Lines>0</Lines>
  <Paragraphs>0</Paragraphs>
  <TotalTime>2</TotalTime>
  <ScaleCrop>false</ScaleCrop>
  <LinksUpToDate>false</LinksUpToDate>
  <CharactersWithSpaces>1014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2020-07-16T00:13:00Z</dcterms:created>
  <dc:creator>Administrator</dc:creator>
  <cp:lastModifiedBy>阿坝州中小企业服务中心</cp:lastModifiedBy>
  <cp:lastPrinted>2025-03-06T07:34:00Z</cp:lastPrinted>
  <dcterms:modified xsi:type="dcterms:W3CDTF">2025-04-08T06:43:32Z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CFBDAF725F6F44EDA9D31FA4B2B87B51_13</vt:lpwstr>
  </property>
  <property fmtid="{D5CDD505-2E9C-101B-9397-08002B2CF9AE}" pid="4" name="KSOTemplateDocerSaveRecord">
    <vt:lpwstr>eyJoZGlkIjoiMDg2YjdjMGYxYTllOTFlNGE0ODhmMzVkZjI1OTYxMWIiLCJ1c2VySWQiOiI0Mzg2OTQwNzcifQ==</vt:lpwstr>
  </property>
</Properties>
</file>